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:rsidRPr="00FB4D9F" w:rsidR="00FB4D9F" w:rsidP="00FB4D9F" w:rsidRDefault="00FB4D9F" w14:paraId="7aaa487" w14:textId="7aaa487">
      <w:pPr>
        <w15:collapsed w:val="false"/>
      </w:pPr>
      <w:bookmarkStart w:name="_GoBack" w:id="0"/>
      <w:bookmarkEnd w:id="0"/>
      <w:r>
        <w:t xml:space="preserve">                                              </w:t>
      </w:r>
      <w:r w:rsidRPr="00FB4D9F">
        <w:rPr>
          <w:rFonts w:ascii="Arial" w:hAnsi="Arial" w:cs="Arial"/>
          <w:sz w:val="24"/>
          <w:szCs w:val="24"/>
          <w:lang w:eastAsia="hr-HR"/>
        </w:rPr>
        <w:object w:dxaOrig="882" w:dyaOrig="111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1.7pt;height:38.7pt" id="_x0000_i1025" fillcolor="window" o:ole="">
            <v:imagedata o:title="" r:id="rId10"/>
          </v:shape>
          <o:OLEObject Type="Embed" ProgID="Word.Picture.8" ShapeID="_x0000_i1025" DrawAspect="Content" ObjectID="_1841220244" r:id="rId11"/>
        </w:object>
      </w:r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5508"/>
        <w:gridCol w:w="4098"/>
      </w:tblGrid>
      <w:tr w:rsidRPr="00FB4D9F" w:rsidR="00FB4D9F" w:rsidTr="00AB1A2F">
        <w:tc>
          <w:tcPr>
            <w:tcW w:w="5508" w:type="dxa"/>
          </w:tcPr>
          <w:p w:rsidRPr="00FB4D9F" w:rsidR="00FB4D9F" w:rsidP="00FB4D9F" w:rsidRDefault="00FB4D9F">
            <w:pPr>
              <w:suppressAutoHyphens w:val="false"/>
              <w:overflowPunct/>
              <w:autoSpaceDE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FB4D9F">
              <w:rPr>
                <w:rFonts w:ascii="Arial" w:hAnsi="Arial" w:cs="Arial"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w="4098" w:type="dxa"/>
          </w:tcPr>
          <w:p w:rsidRPr="00FB4D9F" w:rsidR="00FB4D9F" w:rsidP="00FB4D9F" w:rsidRDefault="00FB4D9F">
            <w:pPr>
              <w:suppressAutoHyphens w:val="false"/>
              <w:overflowPunct/>
              <w:autoSpaceDE/>
              <w:textAlignment w:val="auto"/>
              <w:rPr>
                <w:rFonts w:ascii="Arial" w:hAnsi="Arial" w:cs="Arial"/>
                <w:sz w:val="24"/>
                <w:szCs w:val="24"/>
                <w:lang w:eastAsia="hr-HR"/>
              </w:rPr>
            </w:pPr>
          </w:p>
        </w:tc>
      </w:tr>
      <w:tr w:rsidRPr="00FB4D9F" w:rsidR="00FB4D9F" w:rsidTr="00AB1A2F">
        <w:tc>
          <w:tcPr>
            <w:tcW w:w="5508" w:type="dxa"/>
          </w:tcPr>
          <w:p w:rsidRPr="00FB4D9F" w:rsidR="00FB4D9F" w:rsidP="00FB4D9F" w:rsidRDefault="00FB4D9F">
            <w:pPr>
              <w:suppressAutoHyphens w:val="false"/>
              <w:overflowPunct/>
              <w:autoSpaceDE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FB4D9F">
              <w:rPr>
                <w:rFonts w:ascii="Arial" w:hAnsi="Arial" w:cs="Arial"/>
                <w:sz w:val="24"/>
                <w:szCs w:val="24"/>
                <w:lang w:eastAsia="hr-HR"/>
              </w:rPr>
              <w:t>Visoki prekršajni sud republike Hrvatske</w:t>
            </w:r>
          </w:p>
        </w:tc>
        <w:tc>
          <w:tcPr>
            <w:tcW w:w="4098" w:type="dxa"/>
          </w:tcPr>
          <w:p w:rsidRPr="00FB4D9F" w:rsidR="00FB4D9F" w:rsidP="00FB4D9F" w:rsidRDefault="00FB4D9F">
            <w:pPr>
              <w:suppressAutoHyphens w:val="false"/>
              <w:overflowPunct/>
              <w:autoSpaceDE/>
              <w:textAlignment w:val="auto"/>
              <w:rPr>
                <w:rFonts w:ascii="Arial" w:hAnsi="Arial" w:cs="Arial"/>
                <w:sz w:val="24"/>
                <w:szCs w:val="24"/>
                <w:lang w:eastAsia="hr-HR"/>
              </w:rPr>
            </w:pPr>
          </w:p>
        </w:tc>
      </w:tr>
      <w:tr w:rsidRPr="00FB4D9F" w:rsidR="00FB4D9F" w:rsidTr="00AB1A2F">
        <w:tc>
          <w:tcPr>
            <w:tcW w:w="5508" w:type="dxa"/>
          </w:tcPr>
          <w:p w:rsidRPr="00FB4D9F" w:rsidR="00FB4D9F" w:rsidP="00FB4D9F" w:rsidRDefault="00FB4D9F">
            <w:pPr>
              <w:suppressAutoHyphens w:val="false"/>
              <w:overflowPunct/>
              <w:autoSpaceDE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FB4D9F">
              <w:rPr>
                <w:rFonts w:ascii="Arial" w:hAnsi="Arial" w:cs="Arial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w="4098" w:type="dxa"/>
          </w:tcPr>
          <w:p w:rsidRPr="00FB4D9F" w:rsidR="00FB4D9F" w:rsidP="00FB4D9F" w:rsidRDefault="00FB4D9F">
            <w:pPr>
              <w:suppressAutoHyphens w:val="false"/>
              <w:overflowPunct/>
              <w:autoSpaceDE/>
              <w:textAlignment w:val="auto"/>
              <w:rPr>
                <w:rFonts w:ascii="Arial" w:hAnsi="Arial" w:cs="Arial"/>
                <w:sz w:val="24"/>
                <w:szCs w:val="24"/>
                <w:lang w:eastAsia="hr-HR"/>
              </w:rPr>
            </w:pPr>
          </w:p>
          <w:p w:rsidRPr="00FB4D9F" w:rsidR="00FB4D9F" w:rsidP="00FB4D9F" w:rsidRDefault="00FB4D9F">
            <w:pPr>
              <w:suppressAutoHyphens w:val="false"/>
              <w:overflowPunct/>
              <w:autoSpaceDE/>
              <w:textAlignment w:val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FB4D9F">
              <w:rPr>
                <w:rFonts w:ascii="Arial" w:hAnsi="Arial" w:cs="Arial"/>
                <w:sz w:val="24"/>
                <w:szCs w:val="24"/>
                <w:lang w:eastAsia="hr-HR"/>
              </w:rPr>
              <w:t xml:space="preserve">                   Broj: 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Ppž-293/2026</w:t>
            </w:r>
            <w:r w:rsidRPr="00FB4D9F"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="00FB4D9F" w:rsidP="00FB4D9F" w:rsidRDefault="00FB4D9F"/>
    <w:p w:rsidRPr="00884E5E" w:rsidR="00E84520" w:rsidP="00FB4D9F" w:rsidRDefault="00E84520">
      <w:pPr>
        <w:rPr>
          <w:rFonts w:ascii="Arial" w:hAnsi="Arial" w:cs="Arial"/>
          <w:sz w:val="24"/>
          <w:szCs w:val="24"/>
        </w:rPr>
      </w:pPr>
      <w:r w:rsidRPr="00884E5E">
        <w:rPr>
          <w:rFonts w:ascii="Arial" w:hAnsi="Arial" w:cs="Arial"/>
          <w:sz w:val="24"/>
          <w:szCs w:val="24"/>
        </w:rPr>
        <w:t xml:space="preserve">  </w:t>
      </w:r>
      <w:r w:rsidR="00CC5CC5">
        <w:rPr>
          <w:rFonts w:ascii="Arial" w:hAnsi="Arial" w:cs="Arial"/>
          <w:sz w:val="24"/>
          <w:szCs w:val="24"/>
        </w:rPr>
        <w:t xml:space="preserve">                                         </w:t>
      </w:r>
      <w:r w:rsidRPr="00884E5E">
        <w:rPr>
          <w:rFonts w:ascii="Arial" w:hAnsi="Arial" w:cs="Arial"/>
          <w:sz w:val="24"/>
          <w:szCs w:val="24"/>
        </w:rPr>
        <w:t xml:space="preserve"> R E P U B L I K A  H R V A T S K A</w:t>
      </w:r>
    </w:p>
    <w:p w:rsidRPr="00884E5E" w:rsidR="00E84520" w:rsidP="00FB4D9F" w:rsidRDefault="00E84520">
      <w:pPr>
        <w:jc w:val="center"/>
        <w:rPr>
          <w:rFonts w:ascii="Arial" w:hAnsi="Arial" w:cs="Arial"/>
          <w:sz w:val="24"/>
          <w:szCs w:val="24"/>
        </w:rPr>
      </w:pPr>
    </w:p>
    <w:p w:rsidRPr="00884E5E" w:rsidR="00CC5CC5" w:rsidP="00FB4D9F" w:rsidRDefault="00CC5C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R J E Š E N J E</w:t>
      </w:r>
    </w:p>
    <w:p w:rsidR="00D559F8" w:rsidP="00FB4D9F" w:rsidRDefault="00D559F8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D559F8" w:rsidR="00E84520" w:rsidP="00FB4D9F" w:rsidRDefault="00D35AB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35AB3">
        <w:rPr>
          <w:rFonts w:ascii="Arial" w:hAnsi="Arial" w:cs="Arial"/>
          <w:sz w:val="24"/>
          <w:szCs w:val="24"/>
        </w:rPr>
        <w:t>Visoki prekršajni sud Republike Hrvatske u vijeću sastavljenom od sudaca ovog suda, Katice Lučić kao predsjednice vijeća, te Ivane Bosnić-Kovačić i Mladena Genca kao članova vijeća, uz sudjelovanje više sudske savjetnice Ivane Vorel Mikša, kao zapisničarke, u prekršajnom predmetu protiv I. okrivljenika FACTA VERA d.o.o., sa sjedištem u Vela Luci, kao pravne osobe i II. okrivljenika Tonia Šegona, kao odgovorne osobe, oboje zastupani po branitelju Toniju Primorcu, odvjetniku iz Rijeke, zbog  prekršaja iz čl. 166. st. 2. t. 5. i st. 3. Zakona o mirovinskom osiguranju (Narodne novine broj: 96/25.), odlučujući o žalbi I. okrivljenika i II. okrivljenika, podnesenoj po branitelju, protiv presude Općinskog suda u Dubrovniku, Stalne službe u Korčuli, broj: Pp-2983/2025 od 17. studenoga 2025., na sjednici vijeća održanoj 3. veljače 2026.,</w:t>
      </w:r>
    </w:p>
    <w:p w:rsidR="00B023A4" w:rsidP="00FB4D9F" w:rsidRDefault="00B023A4">
      <w:pPr>
        <w:rPr>
          <w:rFonts w:ascii="Arial" w:hAnsi="Arial" w:cs="Arial"/>
          <w:sz w:val="24"/>
          <w:szCs w:val="24"/>
        </w:rPr>
      </w:pPr>
    </w:p>
    <w:p w:rsidR="00651B28" w:rsidP="00FB4D9F" w:rsidRDefault="00CC5CC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r i j e š i o</w:t>
      </w:r>
      <w:r w:rsidR="00FB4D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j e </w:t>
      </w:r>
    </w:p>
    <w:p w:rsidR="00CC5CC5" w:rsidP="00FB4D9F" w:rsidRDefault="00CC5CC5">
      <w:pPr>
        <w:jc w:val="center"/>
        <w:rPr>
          <w:rFonts w:ascii="Arial" w:hAnsi="Arial" w:cs="Arial"/>
          <w:sz w:val="24"/>
          <w:szCs w:val="24"/>
        </w:rPr>
      </w:pPr>
    </w:p>
    <w:p w:rsidRPr="001A2807" w:rsidR="00E84520" w:rsidP="00FB4D9F" w:rsidRDefault="0070218D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Prihvaća</w:t>
      </w:r>
      <w:r w:rsidR="00FA0F38">
        <w:rPr>
          <w:rFonts w:ascii="Arial" w:hAnsi="Arial" w:cs="Arial"/>
          <w:sz w:val="24"/>
          <w:szCs w:val="24"/>
        </w:rPr>
        <w:t xml:space="preserve">jući žalbu I. okrivljenika </w:t>
      </w:r>
      <w:r w:rsidRPr="00FA0F38" w:rsidR="00FA0F38">
        <w:rPr>
          <w:rFonts w:ascii="Arial" w:hAnsi="Arial" w:cs="Arial"/>
          <w:sz w:val="24"/>
          <w:szCs w:val="24"/>
        </w:rPr>
        <w:t>FACTA VERA d.</w:t>
      </w:r>
      <w:r w:rsidR="00FA0F38">
        <w:rPr>
          <w:rFonts w:ascii="Arial" w:hAnsi="Arial" w:cs="Arial"/>
          <w:sz w:val="24"/>
          <w:szCs w:val="24"/>
        </w:rPr>
        <w:t xml:space="preserve">o.o., sa sjedištem u Vela Luci </w:t>
      </w:r>
      <w:r w:rsidRPr="00FA0F38" w:rsidR="00FA0F38">
        <w:rPr>
          <w:rFonts w:ascii="Arial" w:hAnsi="Arial" w:cs="Arial"/>
          <w:sz w:val="24"/>
          <w:szCs w:val="24"/>
        </w:rPr>
        <w:t>i II. okrivljenika Tonia Šegona</w:t>
      </w:r>
      <w:r w:rsidR="009418DB">
        <w:rPr>
          <w:rFonts w:ascii="Arial" w:hAnsi="Arial" w:cs="Arial"/>
          <w:sz w:val="24"/>
          <w:szCs w:val="24"/>
        </w:rPr>
        <w:t xml:space="preserve">, osnovanom, ukida </w:t>
      </w:r>
      <w:r>
        <w:rPr>
          <w:rFonts w:ascii="Arial" w:hAnsi="Arial" w:cs="Arial"/>
          <w:sz w:val="24"/>
          <w:szCs w:val="24"/>
        </w:rPr>
        <w:t xml:space="preserve">se </w:t>
      </w:r>
      <w:r w:rsidR="00C72CC8">
        <w:rPr>
          <w:rFonts w:ascii="Arial" w:hAnsi="Arial" w:cs="Arial"/>
          <w:sz w:val="24"/>
          <w:szCs w:val="24"/>
        </w:rPr>
        <w:t xml:space="preserve">pobijana </w:t>
      </w:r>
      <w:r w:rsidRPr="001A2807" w:rsidR="00E84520">
        <w:rPr>
          <w:rFonts w:ascii="Arial" w:hAnsi="Arial" w:cs="Arial"/>
          <w:sz w:val="24"/>
          <w:szCs w:val="24"/>
        </w:rPr>
        <w:t xml:space="preserve">presuda i predmet vraća prvostupanjskom sudu na ponovno suđenje.  </w:t>
      </w:r>
    </w:p>
    <w:p w:rsidRPr="001A2807" w:rsidR="00E84520" w:rsidP="00FB4D9F" w:rsidRDefault="00E84520">
      <w:pPr>
        <w:jc w:val="both"/>
        <w:rPr>
          <w:rFonts w:ascii="Arial" w:hAnsi="Arial" w:cs="Arial"/>
          <w:sz w:val="24"/>
          <w:szCs w:val="24"/>
        </w:rPr>
      </w:pPr>
    </w:p>
    <w:p w:rsidR="00E84520" w:rsidP="00FB4D9F" w:rsidRDefault="00590A7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Pr="001A2807" w:rsidR="00E84520">
        <w:rPr>
          <w:rFonts w:ascii="Arial" w:hAnsi="Arial" w:cs="Arial"/>
          <w:sz w:val="24"/>
          <w:szCs w:val="24"/>
        </w:rPr>
        <w:t>Obrazloženje</w:t>
      </w:r>
    </w:p>
    <w:p w:rsidRPr="001A2807" w:rsidR="00CC5CC5" w:rsidP="00FB4D9F" w:rsidRDefault="00CC5CC5">
      <w:pPr>
        <w:rPr>
          <w:rFonts w:ascii="Arial" w:hAnsi="Arial" w:cs="Arial"/>
          <w:sz w:val="24"/>
          <w:szCs w:val="24"/>
        </w:rPr>
      </w:pPr>
    </w:p>
    <w:p w:rsidRPr="005166C7" w:rsidR="005166C7" w:rsidP="00FB4D9F" w:rsidRDefault="005166C7">
      <w:pPr>
        <w:jc w:val="both"/>
        <w:rPr>
          <w:rFonts w:ascii="Arial" w:hAnsi="Arial" w:cs="Arial"/>
          <w:sz w:val="24"/>
          <w:szCs w:val="24"/>
        </w:rPr>
      </w:pPr>
      <w:r w:rsidRPr="005166C7">
        <w:rPr>
          <w:rFonts w:ascii="Arial" w:hAnsi="Arial" w:cs="Arial"/>
          <w:sz w:val="24"/>
          <w:szCs w:val="24"/>
        </w:rPr>
        <w:t xml:space="preserve">1. Prvostupanjskom presudom I. okrivljenik  VERA FACTA d.o.o., Vela Luka i II. okrivljenik Toni Šegon proglašeni su krivima zbog počinjenog prekršajnog djela iz čl. 166. st. 2. toč. 5. i st. 3. Zakona o mirovinskom osiguranju, na način činjenično opisan u izreci, za koje djelo su kažnjeni novčanim kaznama i to: I. okrivljenik u iznosu od 900,00 eura a II. okrivljenik u iznosu od 300,00 eura, uz pravilno upozorenje da će se u slučaju plaćanja dvije trećine izrečene kazne u ostavljenom roku, smatrati da su kazne plaćene u cijelosti.  </w:t>
      </w:r>
    </w:p>
    <w:p w:rsidR="00CC5CC5" w:rsidP="00FB4D9F" w:rsidRDefault="00CC5CC5">
      <w:pPr>
        <w:jc w:val="both"/>
        <w:rPr>
          <w:rFonts w:ascii="Arial" w:hAnsi="Arial" w:cs="Arial"/>
          <w:sz w:val="24"/>
          <w:szCs w:val="24"/>
        </w:rPr>
      </w:pPr>
    </w:p>
    <w:p w:rsidRPr="005166C7" w:rsidR="005166C7" w:rsidP="00FB4D9F" w:rsidRDefault="005166C7">
      <w:pPr>
        <w:jc w:val="both"/>
        <w:rPr>
          <w:rFonts w:ascii="Arial" w:hAnsi="Arial" w:cs="Arial"/>
          <w:sz w:val="24"/>
          <w:szCs w:val="24"/>
        </w:rPr>
      </w:pPr>
      <w:r w:rsidRPr="005166C7">
        <w:rPr>
          <w:rFonts w:ascii="Arial" w:hAnsi="Arial" w:cs="Arial"/>
          <w:sz w:val="24"/>
          <w:szCs w:val="24"/>
        </w:rPr>
        <w:t xml:space="preserve">2.  Istom presudom okrivljenici su obvezani naknaditi paušalni trošak postupka u iznosu od po 15,00 (petnaest) eura, svaki.   </w:t>
      </w:r>
    </w:p>
    <w:p w:rsidRPr="005166C7" w:rsidR="005166C7" w:rsidP="00FB4D9F" w:rsidRDefault="005166C7">
      <w:pPr>
        <w:jc w:val="both"/>
        <w:rPr>
          <w:rFonts w:ascii="Arial" w:hAnsi="Arial" w:cs="Arial"/>
          <w:sz w:val="24"/>
          <w:szCs w:val="24"/>
        </w:rPr>
      </w:pPr>
      <w:r w:rsidRPr="005166C7">
        <w:rPr>
          <w:rFonts w:ascii="Arial" w:hAnsi="Arial" w:cs="Arial"/>
          <w:sz w:val="24"/>
          <w:szCs w:val="24"/>
        </w:rPr>
        <w:tab/>
      </w:r>
    </w:p>
    <w:p w:rsidRPr="005166C7" w:rsidR="005166C7" w:rsidP="00FB4D9F" w:rsidRDefault="005166C7">
      <w:pPr>
        <w:jc w:val="both"/>
        <w:rPr>
          <w:rFonts w:ascii="Arial" w:hAnsi="Arial" w:cs="Arial"/>
          <w:sz w:val="24"/>
          <w:szCs w:val="24"/>
        </w:rPr>
      </w:pPr>
      <w:r w:rsidRPr="005166C7">
        <w:rPr>
          <w:rFonts w:ascii="Arial" w:hAnsi="Arial" w:cs="Arial"/>
          <w:sz w:val="24"/>
          <w:szCs w:val="24"/>
        </w:rPr>
        <w:t>3. Protiv navedene presude okrivljenici su pravodobno</w:t>
      </w:r>
      <w:r>
        <w:rPr>
          <w:rFonts w:ascii="Arial" w:hAnsi="Arial" w:cs="Arial"/>
          <w:sz w:val="24"/>
          <w:szCs w:val="24"/>
        </w:rPr>
        <w:t>,</w:t>
      </w:r>
      <w:r w:rsidRPr="005166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 branitelju </w:t>
      </w:r>
      <w:r w:rsidRPr="005166C7">
        <w:rPr>
          <w:rFonts w:ascii="Arial" w:hAnsi="Arial" w:cs="Arial"/>
          <w:sz w:val="24"/>
          <w:szCs w:val="24"/>
        </w:rPr>
        <w:t>podnijeli žalbu iz svih zakonskih osnova.</w:t>
      </w:r>
    </w:p>
    <w:p w:rsidRPr="005166C7" w:rsidR="005166C7" w:rsidP="00FB4D9F" w:rsidRDefault="005166C7">
      <w:pPr>
        <w:jc w:val="both"/>
        <w:rPr>
          <w:rFonts w:ascii="Arial" w:hAnsi="Arial" w:cs="Arial"/>
          <w:sz w:val="24"/>
          <w:szCs w:val="24"/>
        </w:rPr>
      </w:pPr>
    </w:p>
    <w:p w:rsidRPr="005166C7" w:rsidR="005166C7" w:rsidP="00FB4D9F" w:rsidRDefault="005166C7">
      <w:pPr>
        <w:jc w:val="both"/>
        <w:rPr>
          <w:rFonts w:ascii="Arial" w:hAnsi="Arial" w:cs="Arial"/>
          <w:sz w:val="24"/>
          <w:szCs w:val="24"/>
        </w:rPr>
      </w:pPr>
      <w:r w:rsidRPr="005166C7">
        <w:rPr>
          <w:rFonts w:ascii="Arial" w:hAnsi="Arial" w:cs="Arial"/>
          <w:sz w:val="24"/>
          <w:szCs w:val="24"/>
        </w:rPr>
        <w:t>4. Žalitelji, između ostalog</w:t>
      </w:r>
      <w:r>
        <w:rPr>
          <w:rFonts w:ascii="Arial" w:hAnsi="Arial" w:cs="Arial"/>
          <w:sz w:val="24"/>
          <w:szCs w:val="24"/>
        </w:rPr>
        <w:t>,</w:t>
      </w:r>
      <w:r w:rsidRPr="005166C7">
        <w:rPr>
          <w:rFonts w:ascii="Arial" w:hAnsi="Arial" w:cs="Arial"/>
          <w:sz w:val="24"/>
          <w:szCs w:val="24"/>
        </w:rPr>
        <w:t xml:space="preserve"> ističu da je prije donošenja pobijane presude Državni inspektorat RH donio rješenje kojim je okrivljenicima izrečena upravna administrativna mjera plaćanja 2.650,00 eura po svakom neprijavljenom radniku, </w:t>
      </w:r>
      <w:r>
        <w:rPr>
          <w:rFonts w:ascii="Arial" w:hAnsi="Arial" w:cs="Arial"/>
          <w:sz w:val="24"/>
          <w:szCs w:val="24"/>
        </w:rPr>
        <w:t xml:space="preserve">dodajući da su okrivljenici naloženi iznos </w:t>
      </w:r>
      <w:r w:rsidRPr="005166C7">
        <w:rPr>
          <w:rFonts w:ascii="Arial" w:hAnsi="Arial" w:cs="Arial"/>
          <w:sz w:val="24"/>
          <w:szCs w:val="24"/>
        </w:rPr>
        <w:t xml:space="preserve">platili, a koja mjera u konkretnom slučaju predstavlja sredstvo kažnjavanja okrivljenika za isti činjenični supstrat kao i u </w:t>
      </w:r>
      <w:r w:rsidRPr="005166C7">
        <w:rPr>
          <w:rFonts w:ascii="Arial" w:hAnsi="Arial" w:cs="Arial"/>
          <w:sz w:val="24"/>
          <w:szCs w:val="24"/>
        </w:rPr>
        <w:lastRenderedPageBreak/>
        <w:t xml:space="preserve">optužnom prijedlogu, dakle radi se o presuđenoj stvari pa je time pobijanom presudom kojom se okrivljenike ponovno kažnjava novčanom kaznom za isto djelo, povrijeđeno načelo „ne bis in idem“. </w:t>
      </w:r>
    </w:p>
    <w:p w:rsidRPr="005166C7" w:rsidR="005166C7" w:rsidP="00FB4D9F" w:rsidRDefault="005166C7">
      <w:pPr>
        <w:jc w:val="both"/>
        <w:rPr>
          <w:rFonts w:ascii="Arial" w:hAnsi="Arial" w:cs="Arial"/>
          <w:sz w:val="24"/>
          <w:szCs w:val="24"/>
        </w:rPr>
      </w:pPr>
    </w:p>
    <w:p w:rsidRPr="005166C7" w:rsidR="005166C7" w:rsidP="00FB4D9F" w:rsidRDefault="005166C7">
      <w:pPr>
        <w:jc w:val="both"/>
        <w:rPr>
          <w:rFonts w:ascii="Arial" w:hAnsi="Arial" w:cs="Arial"/>
          <w:sz w:val="24"/>
          <w:szCs w:val="24"/>
        </w:rPr>
      </w:pPr>
      <w:r w:rsidRPr="005166C7">
        <w:rPr>
          <w:rFonts w:ascii="Arial" w:hAnsi="Arial" w:cs="Arial"/>
          <w:sz w:val="24"/>
          <w:szCs w:val="24"/>
        </w:rPr>
        <w:t>5. Žalitelji predlažu da se iz razloga navedenih u žalbi, ista prihvati.</w:t>
      </w:r>
    </w:p>
    <w:p w:rsidR="00590A7A" w:rsidP="00FB4D9F" w:rsidRDefault="00590A7A">
      <w:pPr>
        <w:jc w:val="both"/>
        <w:rPr>
          <w:rFonts w:ascii="Arial" w:hAnsi="Arial" w:cs="Arial"/>
          <w:sz w:val="24"/>
          <w:szCs w:val="24"/>
        </w:rPr>
      </w:pPr>
    </w:p>
    <w:p w:rsidRPr="005166C7" w:rsidR="005166C7" w:rsidP="00FB4D9F" w:rsidRDefault="005166C7">
      <w:pPr>
        <w:jc w:val="both"/>
        <w:rPr>
          <w:rFonts w:ascii="Arial" w:hAnsi="Arial" w:cs="Arial"/>
          <w:sz w:val="24"/>
          <w:szCs w:val="24"/>
        </w:rPr>
      </w:pPr>
      <w:r w:rsidRPr="005166C7">
        <w:rPr>
          <w:rFonts w:ascii="Arial" w:hAnsi="Arial" w:cs="Arial"/>
          <w:sz w:val="24"/>
          <w:szCs w:val="24"/>
        </w:rPr>
        <w:t>6. Žalba je osnovana.</w:t>
      </w:r>
    </w:p>
    <w:p w:rsidR="008A659E" w:rsidP="00FB4D9F" w:rsidRDefault="008A659E">
      <w:pPr>
        <w:jc w:val="both"/>
        <w:rPr>
          <w:rFonts w:ascii="Arial" w:hAnsi="Arial" w:cs="Arial"/>
          <w:sz w:val="24"/>
          <w:szCs w:val="24"/>
        </w:rPr>
      </w:pPr>
    </w:p>
    <w:p w:rsidR="00B276A2" w:rsidP="00FB4D9F" w:rsidRDefault="00BA6A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8A659E">
        <w:rPr>
          <w:rFonts w:ascii="Arial" w:hAnsi="Arial" w:cs="Arial"/>
          <w:sz w:val="24"/>
          <w:szCs w:val="24"/>
        </w:rPr>
        <w:t xml:space="preserve">. </w:t>
      </w:r>
      <w:r w:rsidRPr="00B20839" w:rsidR="00A04383">
        <w:rPr>
          <w:rFonts w:ascii="Arial" w:hAnsi="Arial" w:cs="Arial"/>
          <w:sz w:val="24"/>
          <w:szCs w:val="24"/>
        </w:rPr>
        <w:t xml:space="preserve">Rješavajući predmet u povodu </w:t>
      </w:r>
      <w:r w:rsidR="00D37EF2">
        <w:rPr>
          <w:rFonts w:ascii="Arial" w:hAnsi="Arial" w:cs="Arial"/>
          <w:sz w:val="24"/>
          <w:szCs w:val="24"/>
        </w:rPr>
        <w:t xml:space="preserve">izjavljene </w:t>
      </w:r>
      <w:r w:rsidRPr="00B20839" w:rsidR="00A04383">
        <w:rPr>
          <w:rFonts w:ascii="Arial" w:hAnsi="Arial" w:cs="Arial"/>
          <w:sz w:val="24"/>
          <w:szCs w:val="24"/>
        </w:rPr>
        <w:t>žalbe</w:t>
      </w:r>
      <w:r w:rsidR="00D37EF2">
        <w:rPr>
          <w:rFonts w:ascii="Arial" w:hAnsi="Arial" w:cs="Arial"/>
          <w:sz w:val="24"/>
          <w:szCs w:val="24"/>
        </w:rPr>
        <w:t>,</w:t>
      </w:r>
      <w:r w:rsidRPr="00B20839" w:rsidR="00A04383">
        <w:rPr>
          <w:rFonts w:ascii="Arial" w:hAnsi="Arial" w:cs="Arial"/>
          <w:sz w:val="24"/>
          <w:szCs w:val="24"/>
        </w:rPr>
        <w:t xml:space="preserve"> te ispitujući pobijanu presudu u smislu odredbe čl</w:t>
      </w:r>
      <w:r w:rsidR="00990222">
        <w:rPr>
          <w:rFonts w:ascii="Arial" w:hAnsi="Arial" w:cs="Arial"/>
          <w:sz w:val="24"/>
          <w:szCs w:val="24"/>
        </w:rPr>
        <w:t>.</w:t>
      </w:r>
      <w:r w:rsidRPr="00B20839" w:rsidR="00A04383">
        <w:rPr>
          <w:rFonts w:ascii="Arial" w:hAnsi="Arial" w:cs="Arial"/>
          <w:sz w:val="24"/>
          <w:szCs w:val="24"/>
        </w:rPr>
        <w:t xml:space="preserve"> 202. st</w:t>
      </w:r>
      <w:r w:rsidR="00990222">
        <w:rPr>
          <w:rFonts w:ascii="Arial" w:hAnsi="Arial" w:cs="Arial"/>
          <w:sz w:val="24"/>
          <w:szCs w:val="24"/>
        </w:rPr>
        <w:t>.</w:t>
      </w:r>
      <w:r w:rsidR="000164CB">
        <w:rPr>
          <w:rFonts w:ascii="Arial" w:hAnsi="Arial" w:cs="Arial"/>
          <w:sz w:val="24"/>
          <w:szCs w:val="24"/>
        </w:rPr>
        <w:t xml:space="preserve"> 1. Prekršajnog zakona</w:t>
      </w:r>
      <w:r w:rsidRPr="00B20839" w:rsidR="00A04383">
        <w:rPr>
          <w:rFonts w:ascii="Arial" w:hAnsi="Arial" w:cs="Arial"/>
          <w:sz w:val="24"/>
          <w:szCs w:val="24"/>
        </w:rPr>
        <w:t xml:space="preserve"> </w:t>
      </w:r>
      <w:r w:rsidRPr="000164CB" w:rsidR="000164CB">
        <w:rPr>
          <w:rFonts w:ascii="Arial" w:hAnsi="Arial" w:cs="Arial"/>
          <w:sz w:val="24"/>
          <w:szCs w:val="24"/>
        </w:rPr>
        <w:t>(Narodne novine broj: 107/07., 39/13., 157/13., 110/15., 70/17., 118/18., 114/22.),</w:t>
      </w:r>
      <w:r w:rsidR="000164CB">
        <w:rPr>
          <w:rFonts w:ascii="Arial" w:hAnsi="Arial" w:cs="Arial"/>
          <w:sz w:val="24"/>
          <w:szCs w:val="24"/>
        </w:rPr>
        <w:t xml:space="preserve"> </w:t>
      </w:r>
      <w:r w:rsidRPr="00B20839" w:rsidR="00A04383">
        <w:rPr>
          <w:rFonts w:ascii="Arial" w:hAnsi="Arial" w:cs="Arial"/>
          <w:sz w:val="24"/>
          <w:szCs w:val="24"/>
        </w:rPr>
        <w:t>uz ocjenu navoda žalbe</w:t>
      </w:r>
      <w:r w:rsidRPr="001A2807" w:rsidR="00E84520">
        <w:rPr>
          <w:rFonts w:ascii="Arial" w:hAnsi="Arial" w:cs="Arial"/>
          <w:sz w:val="24"/>
          <w:szCs w:val="24"/>
        </w:rPr>
        <w:t>, Visoki pr</w:t>
      </w:r>
      <w:r w:rsidR="00863F92">
        <w:rPr>
          <w:rFonts w:ascii="Arial" w:hAnsi="Arial" w:cs="Arial"/>
          <w:sz w:val="24"/>
          <w:szCs w:val="24"/>
        </w:rPr>
        <w:t>ekršajni sud Republike Hrvatske</w:t>
      </w:r>
      <w:r w:rsidR="00A04383">
        <w:rPr>
          <w:rFonts w:ascii="Arial" w:hAnsi="Arial" w:cs="Arial"/>
          <w:sz w:val="24"/>
          <w:szCs w:val="24"/>
        </w:rPr>
        <w:t xml:space="preserve"> je ocijenio </w:t>
      </w:r>
      <w:r w:rsidR="0051681F">
        <w:rPr>
          <w:rFonts w:ascii="Arial" w:hAnsi="Arial" w:cs="Arial"/>
          <w:sz w:val="24"/>
          <w:szCs w:val="24"/>
        </w:rPr>
        <w:t xml:space="preserve">da </w:t>
      </w:r>
      <w:r w:rsidRPr="00A04383" w:rsidR="00A04383">
        <w:rPr>
          <w:rFonts w:ascii="Arial" w:hAnsi="Arial" w:cs="Arial"/>
          <w:sz w:val="24"/>
          <w:szCs w:val="24"/>
          <w:lang w:eastAsia="hr-HR"/>
        </w:rPr>
        <w:t>je odluka prvostupanjskog suda</w:t>
      </w:r>
      <w:r w:rsidR="0021472D">
        <w:rPr>
          <w:rFonts w:ascii="Arial" w:hAnsi="Arial" w:cs="Arial"/>
          <w:sz w:val="24"/>
          <w:szCs w:val="24"/>
          <w:lang w:eastAsia="hr-HR"/>
        </w:rPr>
        <w:t xml:space="preserve"> </w:t>
      </w:r>
      <w:r w:rsidR="00AE63EE">
        <w:rPr>
          <w:rFonts w:ascii="Arial" w:hAnsi="Arial" w:cs="Arial"/>
          <w:sz w:val="24"/>
          <w:szCs w:val="24"/>
          <w:lang w:eastAsia="hr-HR"/>
        </w:rPr>
        <w:t>kojom je okrivljenike za pr</w:t>
      </w:r>
      <w:r w:rsidR="0021472D">
        <w:rPr>
          <w:rFonts w:ascii="Arial" w:hAnsi="Arial" w:cs="Arial"/>
          <w:sz w:val="24"/>
          <w:szCs w:val="24"/>
          <w:lang w:eastAsia="hr-HR"/>
        </w:rPr>
        <w:t>e</w:t>
      </w:r>
      <w:r w:rsidR="00AE63EE">
        <w:rPr>
          <w:rFonts w:ascii="Arial" w:hAnsi="Arial" w:cs="Arial"/>
          <w:sz w:val="24"/>
          <w:szCs w:val="24"/>
          <w:lang w:eastAsia="hr-HR"/>
        </w:rPr>
        <w:t>dmetno pekršajno djelo proglasio krivima i kaznio novčanim kaznama</w:t>
      </w:r>
      <w:r w:rsidR="00C75DBA">
        <w:rPr>
          <w:rFonts w:ascii="Arial" w:hAnsi="Arial" w:cs="Arial"/>
          <w:sz w:val="24"/>
          <w:szCs w:val="24"/>
          <w:lang w:eastAsia="hr-HR"/>
        </w:rPr>
        <w:t xml:space="preserve">, </w:t>
      </w:r>
      <w:r w:rsidRPr="00A04383" w:rsidR="00A04383">
        <w:rPr>
          <w:rFonts w:ascii="Arial" w:hAnsi="Arial" w:cs="Arial"/>
          <w:sz w:val="24"/>
          <w:szCs w:val="24"/>
          <w:lang w:eastAsia="hr-HR"/>
        </w:rPr>
        <w:t>za sada preuranjena.</w:t>
      </w:r>
      <w:r w:rsidRPr="00B276A2" w:rsidR="00B276A2">
        <w:rPr>
          <w:rFonts w:ascii="Arial" w:hAnsi="Arial" w:cs="Arial"/>
          <w:sz w:val="24"/>
          <w:szCs w:val="24"/>
        </w:rPr>
        <w:t xml:space="preserve"> </w:t>
      </w:r>
    </w:p>
    <w:p w:rsidR="00B276A2" w:rsidP="00FB4D9F" w:rsidRDefault="00B276A2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9122CE" w:rsidP="00FB4D9F" w:rsidRDefault="003660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B276A2">
        <w:rPr>
          <w:rFonts w:ascii="Arial" w:hAnsi="Arial" w:cs="Arial"/>
          <w:sz w:val="24"/>
          <w:szCs w:val="24"/>
        </w:rPr>
        <w:t xml:space="preserve">. Naime, </w:t>
      </w:r>
      <w:r w:rsidR="002D6B75">
        <w:rPr>
          <w:rFonts w:ascii="Arial" w:hAnsi="Arial" w:cs="Arial"/>
          <w:sz w:val="24"/>
          <w:szCs w:val="24"/>
        </w:rPr>
        <w:t xml:space="preserve">prvostupanjski sud </w:t>
      </w:r>
      <w:r w:rsidR="0078216C">
        <w:rPr>
          <w:rFonts w:ascii="Arial" w:hAnsi="Arial" w:cs="Arial"/>
          <w:sz w:val="24"/>
          <w:szCs w:val="24"/>
        </w:rPr>
        <w:t>je nakon provedenog postupka u tijeku kojeg je ispitao okrivljenike, na temelju njihovog okolnosnog priznanja navoda optužbe</w:t>
      </w:r>
      <w:r w:rsidR="009122CE">
        <w:rPr>
          <w:rFonts w:ascii="Arial" w:hAnsi="Arial" w:cs="Arial"/>
          <w:sz w:val="24"/>
          <w:szCs w:val="24"/>
        </w:rPr>
        <w:t>,</w:t>
      </w:r>
      <w:r w:rsidR="006D488A">
        <w:rPr>
          <w:rFonts w:ascii="Arial" w:hAnsi="Arial" w:cs="Arial"/>
          <w:sz w:val="24"/>
          <w:szCs w:val="24"/>
        </w:rPr>
        <w:t xml:space="preserve"> </w:t>
      </w:r>
      <w:r w:rsidR="006708E2">
        <w:rPr>
          <w:rFonts w:ascii="Arial" w:hAnsi="Arial" w:cs="Arial"/>
          <w:sz w:val="24"/>
          <w:szCs w:val="24"/>
        </w:rPr>
        <w:t xml:space="preserve">utvrdio </w:t>
      </w:r>
      <w:r w:rsidR="004B64D8">
        <w:rPr>
          <w:rFonts w:ascii="Arial" w:hAnsi="Arial" w:cs="Arial"/>
          <w:sz w:val="24"/>
          <w:szCs w:val="24"/>
        </w:rPr>
        <w:t>da su okrivljenici</w:t>
      </w:r>
      <w:r w:rsidR="0078216C">
        <w:rPr>
          <w:rFonts w:ascii="Arial" w:hAnsi="Arial" w:cs="Arial"/>
          <w:sz w:val="24"/>
          <w:szCs w:val="24"/>
        </w:rPr>
        <w:t xml:space="preserve"> počinili prekršajno djelo iz čl. 166. st. 2. toč. 5. i st. 3. Zakona mirovinskom osiguranju, da su za počinjenje istog djela odgovorni zbog čega su ka</w:t>
      </w:r>
      <w:r w:rsidR="004B64D8">
        <w:rPr>
          <w:rFonts w:ascii="Arial" w:hAnsi="Arial" w:cs="Arial"/>
          <w:sz w:val="24"/>
          <w:szCs w:val="24"/>
        </w:rPr>
        <w:t>žnjeni</w:t>
      </w:r>
      <w:r w:rsidR="0078216C">
        <w:rPr>
          <w:rFonts w:ascii="Arial" w:hAnsi="Arial" w:cs="Arial"/>
          <w:sz w:val="24"/>
          <w:szCs w:val="24"/>
        </w:rPr>
        <w:t xml:space="preserve"> novčanim kaznama</w:t>
      </w:r>
      <w:r w:rsidR="006D488A">
        <w:rPr>
          <w:rFonts w:ascii="Arial" w:hAnsi="Arial" w:cs="Arial"/>
          <w:sz w:val="24"/>
          <w:szCs w:val="24"/>
        </w:rPr>
        <w:t xml:space="preserve">. </w:t>
      </w:r>
    </w:p>
    <w:p w:rsidR="00825445" w:rsidP="00FB4D9F" w:rsidRDefault="00825445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824B7E" w:rsidP="00FB4D9F" w:rsidRDefault="003660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825445">
        <w:rPr>
          <w:rFonts w:ascii="Arial" w:hAnsi="Arial" w:cs="Arial"/>
          <w:sz w:val="24"/>
          <w:szCs w:val="24"/>
        </w:rPr>
        <w:t>.  Međutim</w:t>
      </w:r>
      <w:r w:rsidRPr="00825445" w:rsidR="00825445">
        <w:rPr>
          <w:rFonts w:ascii="Arial" w:hAnsi="Arial" w:cs="Arial"/>
          <w:sz w:val="24"/>
          <w:szCs w:val="24"/>
        </w:rPr>
        <w:t>, ispitujući prvostupanjsku presudu, ovaj sud je cijeneći žalbene navode</w:t>
      </w:r>
      <w:r w:rsidR="00D81A90">
        <w:rPr>
          <w:rFonts w:ascii="Arial" w:hAnsi="Arial" w:cs="Arial"/>
          <w:sz w:val="24"/>
          <w:szCs w:val="24"/>
        </w:rPr>
        <w:t xml:space="preserve"> okrivljenika kao i priloženu dokumentaciju</w:t>
      </w:r>
      <w:r w:rsidRPr="00825445" w:rsidR="00825445">
        <w:rPr>
          <w:rFonts w:ascii="Arial" w:hAnsi="Arial" w:cs="Arial"/>
          <w:sz w:val="24"/>
          <w:szCs w:val="24"/>
        </w:rPr>
        <w:t>, ocijenio kako u konkretnom slučaju</w:t>
      </w:r>
      <w:r w:rsidR="00D81A90">
        <w:rPr>
          <w:rFonts w:ascii="Arial" w:hAnsi="Arial" w:cs="Arial"/>
          <w:sz w:val="24"/>
          <w:szCs w:val="24"/>
        </w:rPr>
        <w:t>, a</w:t>
      </w:r>
      <w:r w:rsidRPr="00825445" w:rsidR="00825445">
        <w:rPr>
          <w:rFonts w:ascii="Arial" w:hAnsi="Arial" w:cs="Arial"/>
          <w:sz w:val="24"/>
          <w:szCs w:val="24"/>
        </w:rPr>
        <w:t xml:space="preserve"> </w:t>
      </w:r>
      <w:r w:rsidR="00D81A90">
        <w:rPr>
          <w:rFonts w:ascii="Arial" w:hAnsi="Arial" w:cs="Arial"/>
          <w:sz w:val="24"/>
          <w:szCs w:val="24"/>
        </w:rPr>
        <w:t xml:space="preserve">radi pravilne primjene materijanog prava, </w:t>
      </w:r>
      <w:r w:rsidRPr="00D81A90" w:rsidR="00D81A90">
        <w:rPr>
          <w:rFonts w:ascii="Arial" w:hAnsi="Arial" w:cs="Arial"/>
          <w:sz w:val="24"/>
          <w:szCs w:val="24"/>
        </w:rPr>
        <w:t xml:space="preserve">činjenično stanje nije potpuno </w:t>
      </w:r>
      <w:r w:rsidR="00D81A90">
        <w:rPr>
          <w:rFonts w:ascii="Arial" w:hAnsi="Arial" w:cs="Arial"/>
          <w:sz w:val="24"/>
          <w:szCs w:val="24"/>
        </w:rPr>
        <w:t xml:space="preserve">utvrđeno, odnosno </w:t>
      </w:r>
      <w:r w:rsidRPr="00D81A90" w:rsidR="00D81A90">
        <w:rPr>
          <w:rFonts w:ascii="Arial" w:hAnsi="Arial" w:cs="Arial"/>
          <w:sz w:val="24"/>
          <w:szCs w:val="24"/>
        </w:rPr>
        <w:t>bez provođenja ostalih dokaza</w:t>
      </w:r>
      <w:r w:rsidR="00D81A90">
        <w:rPr>
          <w:rFonts w:ascii="Arial" w:hAnsi="Arial" w:cs="Arial"/>
          <w:sz w:val="24"/>
          <w:szCs w:val="24"/>
        </w:rPr>
        <w:t xml:space="preserve"> i to</w:t>
      </w:r>
      <w:r w:rsidRPr="00D81A90" w:rsidR="00D81A90">
        <w:rPr>
          <w:rFonts w:ascii="Arial" w:hAnsi="Arial" w:cs="Arial"/>
          <w:sz w:val="24"/>
          <w:szCs w:val="24"/>
        </w:rPr>
        <w:t xml:space="preserve"> </w:t>
      </w:r>
      <w:r w:rsidR="00D81A90">
        <w:rPr>
          <w:rFonts w:ascii="Arial" w:hAnsi="Arial" w:cs="Arial"/>
          <w:sz w:val="24"/>
          <w:szCs w:val="24"/>
        </w:rPr>
        <w:t>uvidom u Rješenje</w:t>
      </w:r>
      <w:r w:rsidRPr="00825445" w:rsidR="00825445">
        <w:rPr>
          <w:rFonts w:ascii="Arial" w:hAnsi="Arial" w:cs="Arial"/>
          <w:sz w:val="24"/>
          <w:szCs w:val="24"/>
        </w:rPr>
        <w:t xml:space="preserve"> Državnog inspektorata</w:t>
      </w:r>
      <w:r w:rsidR="00D81A90">
        <w:rPr>
          <w:rFonts w:ascii="Arial" w:hAnsi="Arial" w:cs="Arial"/>
          <w:sz w:val="24"/>
          <w:szCs w:val="24"/>
        </w:rPr>
        <w:t xml:space="preserve"> RH od 05. kolovoza 2025., kojim je</w:t>
      </w:r>
      <w:r w:rsidRPr="00825445" w:rsidR="00825445">
        <w:rPr>
          <w:rFonts w:ascii="Arial" w:hAnsi="Arial" w:cs="Arial"/>
          <w:sz w:val="24"/>
          <w:szCs w:val="24"/>
        </w:rPr>
        <w:t xml:space="preserve"> prije</w:t>
      </w:r>
      <w:r w:rsidR="00D81A90">
        <w:rPr>
          <w:rFonts w:ascii="Arial" w:hAnsi="Arial" w:cs="Arial"/>
          <w:sz w:val="24"/>
          <w:szCs w:val="24"/>
        </w:rPr>
        <w:t xml:space="preserve"> podnošenja optužnog prijedloga</w:t>
      </w:r>
      <w:r w:rsidRPr="00825445" w:rsidR="00825445">
        <w:rPr>
          <w:rFonts w:ascii="Arial" w:hAnsi="Arial" w:cs="Arial"/>
          <w:sz w:val="24"/>
          <w:szCs w:val="24"/>
        </w:rPr>
        <w:t xml:space="preserve"> </w:t>
      </w:r>
      <w:r w:rsidR="00D81A90">
        <w:rPr>
          <w:rFonts w:ascii="Arial" w:hAnsi="Arial" w:cs="Arial"/>
          <w:sz w:val="24"/>
          <w:szCs w:val="24"/>
        </w:rPr>
        <w:t xml:space="preserve">i to </w:t>
      </w:r>
      <w:r w:rsidRPr="00825445" w:rsidR="00825445">
        <w:rPr>
          <w:rFonts w:ascii="Arial" w:hAnsi="Arial" w:cs="Arial"/>
          <w:sz w:val="24"/>
          <w:szCs w:val="24"/>
        </w:rPr>
        <w:t xml:space="preserve">zbog istog djela </w:t>
      </w:r>
      <w:r w:rsidR="00D81A90">
        <w:rPr>
          <w:rFonts w:ascii="Arial" w:hAnsi="Arial" w:cs="Arial"/>
          <w:sz w:val="24"/>
          <w:szCs w:val="24"/>
        </w:rPr>
        <w:t xml:space="preserve">okrivljenicima </w:t>
      </w:r>
      <w:r w:rsidRPr="00825445" w:rsidR="00825445">
        <w:rPr>
          <w:rFonts w:ascii="Arial" w:hAnsi="Arial" w:cs="Arial"/>
          <w:sz w:val="24"/>
          <w:szCs w:val="24"/>
        </w:rPr>
        <w:t xml:space="preserve">već naređena mjera uplate iznosa od 2.650,00 eura za svakog radnika po osnovu mirovinskog osiguranja, </w:t>
      </w:r>
      <w:r w:rsidR="00D81A90">
        <w:rPr>
          <w:rFonts w:ascii="Arial" w:hAnsi="Arial" w:cs="Arial"/>
          <w:sz w:val="24"/>
          <w:szCs w:val="24"/>
        </w:rPr>
        <w:t xml:space="preserve">te provjerom </w:t>
      </w:r>
      <w:r w:rsidR="00CF5474">
        <w:rPr>
          <w:rFonts w:ascii="Arial" w:hAnsi="Arial" w:cs="Arial"/>
          <w:sz w:val="24"/>
          <w:szCs w:val="24"/>
        </w:rPr>
        <w:t>da li je naložena uplata izvršena</w:t>
      </w:r>
      <w:r w:rsidR="00D81A90">
        <w:rPr>
          <w:rFonts w:ascii="Arial" w:hAnsi="Arial" w:cs="Arial"/>
          <w:sz w:val="24"/>
          <w:szCs w:val="24"/>
        </w:rPr>
        <w:t>, nije moguće utvrditi da li se u konkretnom slučaju radi o presuđenoj stvari i eventualnoj povredi načela „ne bis in idem“</w:t>
      </w:r>
      <w:r w:rsidR="00A10680">
        <w:rPr>
          <w:rFonts w:ascii="Arial" w:hAnsi="Arial" w:cs="Arial"/>
          <w:sz w:val="24"/>
          <w:szCs w:val="24"/>
        </w:rPr>
        <w:t>,</w:t>
      </w:r>
      <w:r w:rsidR="00D81A90">
        <w:rPr>
          <w:rFonts w:ascii="Arial" w:hAnsi="Arial" w:cs="Arial"/>
          <w:sz w:val="24"/>
          <w:szCs w:val="24"/>
        </w:rPr>
        <w:t xml:space="preserve"> </w:t>
      </w:r>
      <w:r w:rsidR="00EC6BD4">
        <w:rPr>
          <w:rFonts w:ascii="Arial" w:hAnsi="Arial" w:cs="Arial"/>
          <w:sz w:val="24"/>
          <w:szCs w:val="24"/>
        </w:rPr>
        <w:t>a bez kojeg utvrđenja</w:t>
      </w:r>
      <w:r w:rsidR="00D57BAD">
        <w:rPr>
          <w:rFonts w:ascii="Arial" w:hAnsi="Arial" w:cs="Arial"/>
          <w:sz w:val="24"/>
          <w:szCs w:val="24"/>
        </w:rPr>
        <w:t xml:space="preserve"> navedenih činjenica</w:t>
      </w:r>
      <w:r w:rsidR="00EC6BD4">
        <w:rPr>
          <w:rFonts w:ascii="Arial" w:hAnsi="Arial" w:cs="Arial"/>
          <w:sz w:val="24"/>
          <w:szCs w:val="24"/>
        </w:rPr>
        <w:t xml:space="preserve"> nije moguća </w:t>
      </w:r>
      <w:r w:rsidR="003E435F">
        <w:rPr>
          <w:rFonts w:ascii="Arial" w:hAnsi="Arial" w:cs="Arial"/>
          <w:sz w:val="24"/>
          <w:szCs w:val="24"/>
        </w:rPr>
        <w:t>pravilna primjena materijalnog prava.</w:t>
      </w:r>
    </w:p>
    <w:p w:rsidR="003E435F" w:rsidP="00FB4D9F" w:rsidRDefault="003E435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825445" w:rsidR="00825445" w:rsidP="00FB4D9F" w:rsidRDefault="003660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825445" w:rsidR="00825445">
        <w:rPr>
          <w:rFonts w:ascii="Arial" w:hAnsi="Arial" w:cs="Arial"/>
          <w:sz w:val="24"/>
          <w:szCs w:val="24"/>
        </w:rPr>
        <w:t xml:space="preserve">. Naime, iz Rješenja Državnog inspektorata RH, Područnog ureda Varaždin, Ispostava u Koprivnici,  klasa: UP/I116-02/25-01/365, urbroj: 443-02-04-15-25-2 od 05. kolovoza 2025., razvidno je da je okrivljenicima u tijeku inspekcijskog nadzora a prije pokretanja prekršajnog postupka, u odnosu na ovo isto djelo, bilo naloženo da Hrvatskom zavodu za mirovinsko osiguranje, za imenovane radnike podnesu prijavu na obavezno mirovinsko osiguranje, te ujedno za svakog radnika u korist Državnog proračuna Republike Hrvatske </w:t>
      </w:r>
      <w:r w:rsidR="00CF5474">
        <w:rPr>
          <w:rFonts w:ascii="Arial" w:hAnsi="Arial" w:cs="Arial"/>
          <w:sz w:val="24"/>
          <w:szCs w:val="24"/>
        </w:rPr>
        <w:t xml:space="preserve">uplate iznos od 2.650,00 eura, </w:t>
      </w:r>
      <w:r w:rsidRPr="00825445" w:rsidR="00825445">
        <w:rPr>
          <w:rFonts w:ascii="Arial" w:hAnsi="Arial" w:cs="Arial"/>
          <w:sz w:val="24"/>
          <w:szCs w:val="24"/>
        </w:rPr>
        <w:t xml:space="preserve">po osnovu uplate mirovinskog osiguranja. Slijedom navedenog, ovaj sud nalazi da </w:t>
      </w:r>
      <w:r w:rsidR="00CF5474">
        <w:rPr>
          <w:rFonts w:ascii="Arial" w:hAnsi="Arial" w:cs="Arial"/>
          <w:sz w:val="24"/>
          <w:szCs w:val="24"/>
        </w:rPr>
        <w:t xml:space="preserve">bi </w:t>
      </w:r>
      <w:r w:rsidRPr="00825445" w:rsidR="00825445">
        <w:rPr>
          <w:rFonts w:ascii="Arial" w:hAnsi="Arial" w:cs="Arial"/>
          <w:sz w:val="24"/>
          <w:szCs w:val="24"/>
        </w:rPr>
        <w:t xml:space="preserve">se u konkretnom slučaju </w:t>
      </w:r>
      <w:r w:rsidR="00CF5474">
        <w:rPr>
          <w:rFonts w:ascii="Arial" w:hAnsi="Arial" w:cs="Arial"/>
          <w:sz w:val="24"/>
          <w:szCs w:val="24"/>
        </w:rPr>
        <w:t xml:space="preserve">moglo </w:t>
      </w:r>
      <w:r w:rsidRPr="00825445" w:rsidR="00825445">
        <w:rPr>
          <w:rFonts w:ascii="Arial" w:hAnsi="Arial" w:cs="Arial"/>
          <w:sz w:val="24"/>
          <w:szCs w:val="24"/>
        </w:rPr>
        <w:t>ra</w:t>
      </w:r>
      <w:r w:rsidR="00B97AB9">
        <w:rPr>
          <w:rFonts w:ascii="Arial" w:hAnsi="Arial" w:cs="Arial"/>
          <w:sz w:val="24"/>
          <w:szCs w:val="24"/>
        </w:rPr>
        <w:t xml:space="preserve">di o presuđenoj stvari, sukladno </w:t>
      </w:r>
      <w:r w:rsidRPr="00825445" w:rsidR="00825445">
        <w:rPr>
          <w:rFonts w:ascii="Arial" w:hAnsi="Arial" w:cs="Arial"/>
          <w:sz w:val="24"/>
          <w:szCs w:val="24"/>
        </w:rPr>
        <w:t>s Konvencijom za zaštitu ljudskih prava i temeljnih sloboda i u skladu sa praksom Europskog suda za ljudska prava, koja izjednačava sudsko i administrativno kažnjavanje ukoliko je riječ o činjenično istom djelu</w:t>
      </w:r>
      <w:r w:rsidRPr="00CF5474" w:rsidR="00CF5474">
        <w:rPr>
          <w:rFonts w:ascii="Arial" w:hAnsi="Arial" w:cs="Arial"/>
          <w:sz w:val="24"/>
          <w:szCs w:val="24"/>
        </w:rPr>
        <w:t xml:space="preserve"> (Mare</w:t>
      </w:r>
      <w:r w:rsidR="00B97AB9">
        <w:rPr>
          <w:rFonts w:ascii="Arial" w:hAnsi="Arial" w:cs="Arial"/>
          <w:sz w:val="24"/>
          <w:szCs w:val="24"/>
        </w:rPr>
        <w:t>sti v. Croatia App. no 55759/07</w:t>
      </w:r>
      <w:r w:rsidRPr="00CF5474" w:rsidR="00CF5474">
        <w:rPr>
          <w:rFonts w:ascii="Arial" w:hAnsi="Arial" w:cs="Arial"/>
          <w:sz w:val="24"/>
          <w:szCs w:val="24"/>
        </w:rPr>
        <w:t xml:space="preserve"> u kojoj je potvrđeno stajalište Suda iznijeto u slučaju Zolotuknin </w:t>
      </w:r>
      <w:r w:rsidR="003A228F">
        <w:rPr>
          <w:rFonts w:ascii="Arial" w:hAnsi="Arial" w:cs="Arial"/>
          <w:sz w:val="24"/>
          <w:szCs w:val="24"/>
        </w:rPr>
        <w:t xml:space="preserve">- </w:t>
      </w:r>
      <w:r w:rsidRPr="00CF5474" w:rsidR="00CF5474">
        <w:rPr>
          <w:rFonts w:ascii="Arial" w:hAnsi="Arial" w:cs="Arial"/>
          <w:sz w:val="24"/>
          <w:szCs w:val="24"/>
        </w:rPr>
        <w:t>Zolotukhnin v. Rusija, App. No 14939/03</w:t>
      </w:r>
      <w:r w:rsidR="003A228F">
        <w:rPr>
          <w:rFonts w:ascii="Arial" w:hAnsi="Arial" w:cs="Arial"/>
          <w:sz w:val="24"/>
          <w:szCs w:val="24"/>
        </w:rPr>
        <w:t>,</w:t>
      </w:r>
      <w:r w:rsidRPr="00CF5474" w:rsidR="00CF5474">
        <w:rPr>
          <w:rFonts w:ascii="Arial" w:hAnsi="Arial" w:cs="Arial"/>
          <w:sz w:val="24"/>
          <w:szCs w:val="24"/>
        </w:rPr>
        <w:t xml:space="preserve"> u kojoj se također odlučivalo o povredi načela „ne bis in idem“</w:t>
      </w:r>
      <w:r w:rsidR="003A228F">
        <w:rPr>
          <w:rFonts w:ascii="Arial" w:hAnsi="Arial" w:cs="Arial"/>
          <w:sz w:val="24"/>
          <w:szCs w:val="24"/>
        </w:rPr>
        <w:t>)</w:t>
      </w:r>
      <w:r w:rsidRPr="00CF5474" w:rsidR="00CF5474">
        <w:rPr>
          <w:rFonts w:ascii="Arial" w:hAnsi="Arial" w:cs="Arial"/>
          <w:sz w:val="24"/>
          <w:szCs w:val="24"/>
        </w:rPr>
        <w:t xml:space="preserve">.     </w:t>
      </w:r>
    </w:p>
    <w:p w:rsidR="00995DCF" w:rsidP="00FB4D9F" w:rsidRDefault="00995DCF">
      <w:pPr>
        <w:jc w:val="both"/>
        <w:rPr>
          <w:rFonts w:ascii="Arial" w:hAnsi="Arial" w:cs="Arial"/>
          <w:sz w:val="24"/>
          <w:szCs w:val="24"/>
        </w:rPr>
      </w:pPr>
    </w:p>
    <w:p w:rsidR="004D124E" w:rsidP="00FB4D9F" w:rsidRDefault="003660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4D124E">
        <w:rPr>
          <w:rFonts w:ascii="Arial" w:hAnsi="Arial" w:cs="Arial"/>
          <w:sz w:val="24"/>
          <w:szCs w:val="24"/>
        </w:rPr>
        <w:t xml:space="preserve">.  </w:t>
      </w:r>
      <w:r w:rsidR="004A505F">
        <w:rPr>
          <w:rFonts w:ascii="Arial" w:hAnsi="Arial" w:cs="Arial"/>
          <w:sz w:val="24"/>
          <w:szCs w:val="24"/>
        </w:rPr>
        <w:t>Slijedom iznesenog</w:t>
      </w:r>
      <w:r w:rsidR="005D4185">
        <w:rPr>
          <w:rFonts w:ascii="Arial" w:hAnsi="Arial" w:cs="Arial"/>
          <w:sz w:val="24"/>
          <w:szCs w:val="24"/>
        </w:rPr>
        <w:t>,</w:t>
      </w:r>
      <w:r w:rsidR="006A623C">
        <w:rPr>
          <w:rFonts w:ascii="Arial" w:hAnsi="Arial" w:cs="Arial"/>
          <w:sz w:val="24"/>
          <w:szCs w:val="24"/>
        </w:rPr>
        <w:t xml:space="preserve"> </w:t>
      </w:r>
      <w:r w:rsidR="00827BD3">
        <w:rPr>
          <w:rFonts w:ascii="Arial" w:hAnsi="Arial" w:cs="Arial"/>
          <w:sz w:val="24"/>
          <w:szCs w:val="24"/>
        </w:rPr>
        <w:t xml:space="preserve">prema ocjeni ovog suda, </w:t>
      </w:r>
      <w:r w:rsidR="004A505F">
        <w:rPr>
          <w:rFonts w:ascii="Arial" w:hAnsi="Arial" w:cs="Arial"/>
          <w:sz w:val="24"/>
          <w:szCs w:val="24"/>
        </w:rPr>
        <w:t xml:space="preserve">bez prethodnog izvođenja </w:t>
      </w:r>
      <w:r w:rsidR="00827BD3">
        <w:rPr>
          <w:rFonts w:ascii="Arial" w:hAnsi="Arial" w:cs="Arial"/>
          <w:sz w:val="24"/>
          <w:szCs w:val="24"/>
        </w:rPr>
        <w:t xml:space="preserve">drugih dokaza, </w:t>
      </w:r>
      <w:r w:rsidRPr="00B20839" w:rsidR="00B276A2">
        <w:rPr>
          <w:rFonts w:ascii="Arial" w:hAnsi="Arial" w:cs="Arial"/>
          <w:sz w:val="24"/>
          <w:szCs w:val="24"/>
        </w:rPr>
        <w:t>nije m</w:t>
      </w:r>
      <w:r w:rsidR="00995DCF">
        <w:rPr>
          <w:rFonts w:ascii="Arial" w:hAnsi="Arial" w:cs="Arial"/>
          <w:sz w:val="24"/>
          <w:szCs w:val="24"/>
        </w:rPr>
        <w:t xml:space="preserve">oguće </w:t>
      </w:r>
      <w:r w:rsidR="006E20E4">
        <w:rPr>
          <w:rFonts w:ascii="Arial" w:hAnsi="Arial" w:cs="Arial"/>
          <w:sz w:val="24"/>
          <w:szCs w:val="24"/>
        </w:rPr>
        <w:t>donijeti zaključak o</w:t>
      </w:r>
      <w:r w:rsidR="00827BD3">
        <w:rPr>
          <w:rFonts w:ascii="Arial" w:hAnsi="Arial" w:cs="Arial"/>
          <w:sz w:val="24"/>
          <w:szCs w:val="24"/>
        </w:rPr>
        <w:t xml:space="preserve"> postojanju ili nepostojanju odlučnih činjenica, </w:t>
      </w:r>
      <w:r w:rsidR="00995DCF">
        <w:rPr>
          <w:rFonts w:ascii="Arial" w:hAnsi="Arial" w:cs="Arial"/>
          <w:sz w:val="24"/>
          <w:szCs w:val="24"/>
        </w:rPr>
        <w:t xml:space="preserve">niti je </w:t>
      </w:r>
      <w:r w:rsidR="00651B28">
        <w:rPr>
          <w:rFonts w:ascii="Arial" w:hAnsi="Arial" w:cs="Arial"/>
          <w:sz w:val="24"/>
          <w:szCs w:val="24"/>
        </w:rPr>
        <w:t xml:space="preserve">iz naprijed navedenih razloga </w:t>
      </w:r>
      <w:r w:rsidR="00995DCF">
        <w:rPr>
          <w:rFonts w:ascii="Arial" w:hAnsi="Arial" w:cs="Arial"/>
          <w:sz w:val="24"/>
          <w:szCs w:val="24"/>
        </w:rPr>
        <w:t>moguće pravi</w:t>
      </w:r>
      <w:r w:rsidR="00EC6BD4">
        <w:rPr>
          <w:rFonts w:ascii="Arial" w:hAnsi="Arial" w:cs="Arial"/>
          <w:sz w:val="24"/>
          <w:szCs w:val="24"/>
        </w:rPr>
        <w:t>l</w:t>
      </w:r>
      <w:r w:rsidR="00995DCF">
        <w:rPr>
          <w:rFonts w:ascii="Arial" w:hAnsi="Arial" w:cs="Arial"/>
          <w:sz w:val="24"/>
          <w:szCs w:val="24"/>
        </w:rPr>
        <w:t xml:space="preserve">no primijeniti materijalno </w:t>
      </w:r>
      <w:r w:rsidR="00995DCF">
        <w:rPr>
          <w:rFonts w:ascii="Arial" w:hAnsi="Arial" w:cs="Arial"/>
          <w:sz w:val="24"/>
          <w:szCs w:val="24"/>
        </w:rPr>
        <w:lastRenderedPageBreak/>
        <w:t xml:space="preserve">pravo, </w:t>
      </w:r>
      <w:r w:rsidR="00827BD3">
        <w:rPr>
          <w:rFonts w:ascii="Arial" w:hAnsi="Arial" w:cs="Arial"/>
          <w:sz w:val="24"/>
          <w:szCs w:val="24"/>
        </w:rPr>
        <w:t xml:space="preserve">zbog čega je </w:t>
      </w:r>
      <w:r w:rsidR="00EC3C63">
        <w:rPr>
          <w:rFonts w:ascii="Arial" w:hAnsi="Arial" w:cs="Arial"/>
          <w:sz w:val="24"/>
          <w:szCs w:val="24"/>
        </w:rPr>
        <w:t>pobijana odluka</w:t>
      </w:r>
      <w:r w:rsidR="00995DCF">
        <w:rPr>
          <w:rFonts w:ascii="Arial" w:hAnsi="Arial" w:cs="Arial"/>
          <w:sz w:val="24"/>
          <w:szCs w:val="24"/>
        </w:rPr>
        <w:t xml:space="preserve"> kojom su okrivlj</w:t>
      </w:r>
      <w:r w:rsidR="00EC6BD4">
        <w:rPr>
          <w:rFonts w:ascii="Arial" w:hAnsi="Arial" w:cs="Arial"/>
          <w:sz w:val="24"/>
          <w:szCs w:val="24"/>
        </w:rPr>
        <w:t>e</w:t>
      </w:r>
      <w:r w:rsidR="00995DCF">
        <w:rPr>
          <w:rFonts w:ascii="Arial" w:hAnsi="Arial" w:cs="Arial"/>
          <w:sz w:val="24"/>
          <w:szCs w:val="24"/>
        </w:rPr>
        <w:t>nici za predmetno djelo u prvostupanjskom presudom proglašeni krivima i kažnjeni novčanom kaznom</w:t>
      </w:r>
      <w:r w:rsidR="002260B3">
        <w:rPr>
          <w:rFonts w:ascii="Arial" w:hAnsi="Arial" w:cs="Arial"/>
          <w:sz w:val="24"/>
          <w:szCs w:val="24"/>
        </w:rPr>
        <w:t xml:space="preserve">, </w:t>
      </w:r>
      <w:r w:rsidR="00EC3C63">
        <w:rPr>
          <w:rFonts w:ascii="Arial" w:hAnsi="Arial" w:cs="Arial"/>
          <w:sz w:val="24"/>
          <w:szCs w:val="24"/>
        </w:rPr>
        <w:t>za sada preuranjena</w:t>
      </w:r>
      <w:r w:rsidR="00651B28">
        <w:rPr>
          <w:rFonts w:ascii="Arial" w:hAnsi="Arial" w:cs="Arial"/>
          <w:sz w:val="24"/>
          <w:szCs w:val="24"/>
        </w:rPr>
        <w:t>.</w:t>
      </w:r>
      <w:r w:rsidR="004D124E">
        <w:rPr>
          <w:rFonts w:ascii="Arial" w:hAnsi="Arial" w:cs="Arial"/>
          <w:sz w:val="24"/>
          <w:szCs w:val="24"/>
        </w:rPr>
        <w:t xml:space="preserve"> </w:t>
      </w:r>
    </w:p>
    <w:p w:rsidR="00995DCF" w:rsidP="00FB4D9F" w:rsidRDefault="00995DC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4D124E" w:rsidR="00D277ED" w:rsidP="00FB4D9F" w:rsidRDefault="0036609F">
      <w:pPr>
        <w:jc w:val="both"/>
        <w:rPr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12</w:t>
      </w:r>
      <w:r w:rsidR="00651B28">
        <w:rPr>
          <w:rFonts w:ascii="Arial" w:hAnsi="Arial" w:cs="Arial"/>
          <w:sz w:val="24"/>
          <w:szCs w:val="24"/>
        </w:rPr>
        <w:t>. Zbog toga je</w:t>
      </w:r>
      <w:r w:rsidR="004D124E">
        <w:rPr>
          <w:rFonts w:ascii="Arial" w:hAnsi="Arial" w:cs="Arial"/>
          <w:sz w:val="24"/>
          <w:szCs w:val="24"/>
        </w:rPr>
        <w:t xml:space="preserve"> </w:t>
      </w:r>
      <w:r w:rsidR="00651B28">
        <w:rPr>
          <w:rFonts w:ascii="Arial" w:hAnsi="Arial" w:cs="Arial"/>
          <w:sz w:val="24"/>
          <w:szCs w:val="24"/>
          <w:lang w:eastAsia="hr-HR"/>
        </w:rPr>
        <w:t>ovaj sud</w:t>
      </w:r>
      <w:r w:rsidR="005656BB">
        <w:rPr>
          <w:rFonts w:ascii="Arial" w:hAnsi="Arial" w:cs="Arial"/>
          <w:sz w:val="24"/>
          <w:szCs w:val="24"/>
          <w:lang w:eastAsia="hr-HR"/>
        </w:rPr>
        <w:t xml:space="preserve"> </w:t>
      </w:r>
      <w:r w:rsidR="004A505F">
        <w:rPr>
          <w:rFonts w:ascii="Arial" w:hAnsi="Arial" w:cs="Arial"/>
          <w:sz w:val="24"/>
          <w:szCs w:val="24"/>
          <w:lang w:eastAsia="hr-HR"/>
        </w:rPr>
        <w:t xml:space="preserve">prihvaćajući 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>žalbu</w:t>
      </w:r>
      <w:r w:rsidR="006E20E4">
        <w:rPr>
          <w:rFonts w:ascii="Arial" w:hAnsi="Arial" w:cs="Arial"/>
          <w:sz w:val="24"/>
          <w:szCs w:val="24"/>
          <w:lang w:eastAsia="hr-HR"/>
        </w:rPr>
        <w:t xml:space="preserve"> </w:t>
      </w:r>
      <w:r w:rsidR="00FB4D9F">
        <w:rPr>
          <w:rFonts w:ascii="Arial" w:hAnsi="Arial" w:cs="Arial"/>
          <w:sz w:val="24"/>
          <w:szCs w:val="24"/>
          <w:lang w:eastAsia="hr-HR"/>
        </w:rPr>
        <w:t>okrivljeni</w:t>
      </w:r>
      <w:r w:rsidR="00995DCF">
        <w:rPr>
          <w:rFonts w:ascii="Arial" w:hAnsi="Arial" w:cs="Arial"/>
          <w:sz w:val="24"/>
          <w:szCs w:val="24"/>
          <w:lang w:eastAsia="hr-HR"/>
        </w:rPr>
        <w:t xml:space="preserve">ka </w:t>
      </w:r>
      <w:r w:rsidR="00651B28">
        <w:rPr>
          <w:rFonts w:ascii="Arial" w:hAnsi="Arial" w:cs="Arial"/>
          <w:sz w:val="24"/>
          <w:szCs w:val="24"/>
          <w:lang w:eastAsia="hr-HR"/>
        </w:rPr>
        <w:t xml:space="preserve">osnovanom, </w:t>
      </w:r>
      <w:r w:rsidR="00236325">
        <w:rPr>
          <w:rFonts w:ascii="Arial" w:hAnsi="Arial" w:cs="Arial"/>
          <w:sz w:val="24"/>
          <w:szCs w:val="24"/>
          <w:lang w:eastAsia="hr-HR"/>
        </w:rPr>
        <w:t>ukinuo prvostupanjsku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 xml:space="preserve"> presudu</w:t>
      </w:r>
      <w:r w:rsidR="004D124E">
        <w:rPr>
          <w:rFonts w:ascii="Arial" w:hAnsi="Arial" w:cs="Arial"/>
          <w:sz w:val="24"/>
          <w:szCs w:val="24"/>
          <w:lang w:eastAsia="hr-HR"/>
        </w:rPr>
        <w:t>.</w:t>
      </w:r>
    </w:p>
    <w:p w:rsidRPr="00D277ED" w:rsidR="00D277ED" w:rsidP="00FB4D9F" w:rsidRDefault="00D277ED">
      <w:pPr>
        <w:suppressAutoHyphens w:val="false"/>
        <w:overflowPunct/>
        <w:autoSpaceDE/>
        <w:ind w:firstLine="720"/>
        <w:jc w:val="both"/>
        <w:textAlignment w:val="auto"/>
        <w:rPr>
          <w:rFonts w:ascii="Arial" w:hAnsi="Arial" w:cs="Arial"/>
          <w:sz w:val="24"/>
          <w:szCs w:val="24"/>
          <w:lang w:eastAsia="hr-HR"/>
        </w:rPr>
      </w:pPr>
    </w:p>
    <w:p w:rsidRPr="00D277ED" w:rsidR="00D277ED" w:rsidP="00FB4D9F" w:rsidRDefault="0036609F">
      <w:pPr>
        <w:suppressAutoHyphens w:val="false"/>
        <w:overflowPunct/>
        <w:autoSpaceDE/>
        <w:jc w:val="both"/>
        <w:textAlignment w:val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13</w:t>
      </w:r>
      <w:r w:rsidR="00D277ED">
        <w:rPr>
          <w:rFonts w:ascii="Arial" w:hAnsi="Arial" w:cs="Arial"/>
          <w:sz w:val="24"/>
          <w:szCs w:val="24"/>
          <w:lang w:eastAsia="hr-HR"/>
        </w:rPr>
        <w:t xml:space="preserve">. </w:t>
      </w:r>
      <w:r w:rsidR="003075B6">
        <w:rPr>
          <w:rFonts w:ascii="Arial" w:hAnsi="Arial" w:cs="Arial"/>
          <w:sz w:val="24"/>
          <w:szCs w:val="24"/>
          <w:lang w:eastAsia="hr-HR"/>
        </w:rPr>
        <w:t xml:space="preserve"> </w:t>
      </w:r>
      <w:r w:rsidR="00572E95">
        <w:rPr>
          <w:rFonts w:ascii="Arial" w:hAnsi="Arial" w:cs="Arial"/>
          <w:sz w:val="24"/>
          <w:szCs w:val="24"/>
          <w:lang w:eastAsia="hr-HR"/>
        </w:rPr>
        <w:t>U ponovljenom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 xml:space="preserve"> postupku prvostupanj</w:t>
      </w:r>
      <w:r w:rsidR="0054707A">
        <w:rPr>
          <w:rFonts w:ascii="Arial" w:hAnsi="Arial" w:cs="Arial"/>
          <w:sz w:val="24"/>
          <w:szCs w:val="24"/>
          <w:lang w:eastAsia="hr-HR"/>
        </w:rPr>
        <w:t xml:space="preserve">ski sud će, </w:t>
      </w:r>
      <w:r w:rsidR="00874B46">
        <w:rPr>
          <w:rFonts w:ascii="Arial" w:hAnsi="Arial" w:cs="Arial"/>
          <w:sz w:val="24"/>
          <w:szCs w:val="24"/>
          <w:lang w:eastAsia="hr-HR"/>
        </w:rPr>
        <w:t xml:space="preserve">provođenjem </w:t>
      </w:r>
      <w:r w:rsidR="0054707A">
        <w:rPr>
          <w:rFonts w:ascii="Arial" w:hAnsi="Arial" w:cs="Arial"/>
          <w:sz w:val="24"/>
          <w:szCs w:val="24"/>
          <w:lang w:eastAsia="hr-HR"/>
        </w:rPr>
        <w:t>iscrpnijeg dokaznog postupka</w:t>
      </w:r>
      <w:r w:rsidR="004D124E">
        <w:rPr>
          <w:rFonts w:ascii="Arial" w:hAnsi="Arial" w:cs="Arial"/>
          <w:sz w:val="24"/>
          <w:szCs w:val="24"/>
          <w:lang w:eastAsia="hr-HR"/>
        </w:rPr>
        <w:t xml:space="preserve">, 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>ponov</w:t>
      </w:r>
      <w:r w:rsidR="0054707A">
        <w:rPr>
          <w:rFonts w:ascii="Arial" w:hAnsi="Arial" w:cs="Arial"/>
          <w:sz w:val="24"/>
          <w:szCs w:val="24"/>
          <w:lang w:eastAsia="hr-HR"/>
        </w:rPr>
        <w:t xml:space="preserve">no </w:t>
      </w:r>
      <w:r w:rsidR="005656BB">
        <w:rPr>
          <w:rFonts w:ascii="Arial" w:hAnsi="Arial" w:cs="Arial"/>
          <w:sz w:val="24"/>
          <w:szCs w:val="24"/>
          <w:lang w:eastAsia="hr-HR"/>
        </w:rPr>
        <w:t xml:space="preserve">utvrditi </w:t>
      </w:r>
      <w:r w:rsidR="0054707A">
        <w:rPr>
          <w:rFonts w:ascii="Arial" w:hAnsi="Arial" w:cs="Arial"/>
          <w:sz w:val="24"/>
          <w:szCs w:val="24"/>
          <w:lang w:eastAsia="hr-HR"/>
        </w:rPr>
        <w:t xml:space="preserve">ima li u </w:t>
      </w:r>
      <w:r w:rsidR="005656BB">
        <w:rPr>
          <w:rFonts w:ascii="Arial" w:hAnsi="Arial" w:cs="Arial"/>
          <w:sz w:val="24"/>
          <w:szCs w:val="24"/>
          <w:lang w:eastAsia="hr-HR"/>
        </w:rPr>
        <w:t>ponašanju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 xml:space="preserve"> o</w:t>
      </w:r>
      <w:r w:rsidR="009E2BD6">
        <w:rPr>
          <w:rFonts w:ascii="Arial" w:hAnsi="Arial" w:cs="Arial"/>
          <w:sz w:val="24"/>
          <w:szCs w:val="24"/>
          <w:lang w:eastAsia="hr-HR"/>
        </w:rPr>
        <w:t>krivljeni</w:t>
      </w:r>
      <w:r w:rsidR="004D124E">
        <w:rPr>
          <w:rFonts w:ascii="Arial" w:hAnsi="Arial" w:cs="Arial"/>
          <w:sz w:val="24"/>
          <w:szCs w:val="24"/>
          <w:lang w:eastAsia="hr-HR"/>
        </w:rPr>
        <w:t>ka</w:t>
      </w:r>
      <w:r w:rsidR="004A505F">
        <w:rPr>
          <w:rFonts w:ascii="Arial" w:hAnsi="Arial" w:cs="Arial"/>
          <w:sz w:val="24"/>
          <w:szCs w:val="24"/>
          <w:lang w:eastAsia="hr-HR"/>
        </w:rPr>
        <w:t xml:space="preserve"> obilježja prekršaja </w:t>
      </w:r>
      <w:r w:rsidR="00FB4D9F">
        <w:rPr>
          <w:rFonts w:ascii="Arial" w:hAnsi="Arial" w:cs="Arial"/>
          <w:sz w:val="24"/>
          <w:szCs w:val="24"/>
          <w:lang w:eastAsia="hr-HR"/>
        </w:rPr>
        <w:t>koji</w:t>
      </w:r>
      <w:r w:rsidR="004A505F">
        <w:rPr>
          <w:rFonts w:ascii="Arial" w:hAnsi="Arial" w:cs="Arial"/>
          <w:sz w:val="24"/>
          <w:szCs w:val="24"/>
          <w:lang w:eastAsia="hr-HR"/>
        </w:rPr>
        <w:t xml:space="preserve"> </w:t>
      </w:r>
      <w:r w:rsidR="00995DCF">
        <w:rPr>
          <w:rFonts w:ascii="Arial" w:hAnsi="Arial" w:cs="Arial"/>
          <w:sz w:val="24"/>
          <w:szCs w:val="24"/>
          <w:lang w:eastAsia="hr-HR"/>
        </w:rPr>
        <w:t xml:space="preserve">im 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>se stavlja na teret</w:t>
      </w:r>
      <w:r w:rsidR="00FB4D9F">
        <w:rPr>
          <w:rFonts w:ascii="Arial" w:hAnsi="Arial" w:cs="Arial"/>
          <w:sz w:val="24"/>
          <w:szCs w:val="24"/>
          <w:lang w:eastAsia="hr-HR"/>
        </w:rPr>
        <w:t>, a posebno da li postoje okolnosti koje opravdavaju odbijanje optužbe protiv okrivljenika, imajući u vidu načelo "ne bis in idem",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 xml:space="preserve"> i prema utvrđenom, donijeti novu</w:t>
      </w:r>
      <w:r w:rsidR="0054707A">
        <w:rPr>
          <w:rFonts w:ascii="Arial" w:hAnsi="Arial" w:cs="Arial"/>
          <w:sz w:val="24"/>
          <w:szCs w:val="24"/>
          <w:lang w:eastAsia="hr-HR"/>
        </w:rPr>
        <w:t>,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 xml:space="preserve"> na zakonu osnovanu i valjano obrazloženu odluku. </w:t>
      </w:r>
    </w:p>
    <w:p w:rsidRPr="00D277ED" w:rsidR="00D277ED" w:rsidP="00FB4D9F" w:rsidRDefault="00D277ED">
      <w:pPr>
        <w:suppressAutoHyphens w:val="false"/>
        <w:overflowPunct/>
        <w:autoSpaceDE/>
        <w:ind w:firstLine="720"/>
        <w:jc w:val="both"/>
        <w:textAlignment w:val="auto"/>
        <w:rPr>
          <w:rFonts w:ascii="Arial" w:hAnsi="Arial" w:cs="Arial"/>
          <w:sz w:val="24"/>
          <w:szCs w:val="24"/>
          <w:lang w:eastAsia="hr-HR"/>
        </w:rPr>
      </w:pPr>
    </w:p>
    <w:p w:rsidRPr="00D277ED" w:rsidR="00D277ED" w:rsidP="00FB4D9F" w:rsidRDefault="0036609F">
      <w:pPr>
        <w:suppressAutoHyphens w:val="false"/>
        <w:overflowPunct/>
        <w:autoSpaceDE/>
        <w:jc w:val="both"/>
        <w:textAlignment w:val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14</w:t>
      </w:r>
      <w:r w:rsidR="009B2CD0">
        <w:rPr>
          <w:rFonts w:ascii="Arial" w:hAnsi="Arial" w:cs="Arial"/>
          <w:sz w:val="24"/>
          <w:szCs w:val="24"/>
          <w:lang w:eastAsia="hr-HR"/>
        </w:rPr>
        <w:t xml:space="preserve">. </w:t>
      </w:r>
      <w:r w:rsidR="00C10413">
        <w:rPr>
          <w:rFonts w:ascii="Arial" w:hAnsi="Arial" w:cs="Arial"/>
          <w:sz w:val="24"/>
          <w:szCs w:val="24"/>
          <w:lang w:eastAsia="hr-HR"/>
        </w:rPr>
        <w:t xml:space="preserve"> </w:t>
      </w:r>
      <w:r w:rsidR="005877BD">
        <w:rPr>
          <w:rFonts w:ascii="Arial" w:hAnsi="Arial" w:cs="Arial"/>
          <w:sz w:val="24"/>
          <w:szCs w:val="24"/>
          <w:lang w:eastAsia="hr-HR"/>
        </w:rPr>
        <w:t>Iz navedenih razloga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>, na temelju odredbe čl</w:t>
      </w:r>
      <w:r w:rsidR="005656BB">
        <w:rPr>
          <w:rFonts w:ascii="Arial" w:hAnsi="Arial" w:cs="Arial"/>
          <w:sz w:val="24"/>
          <w:szCs w:val="24"/>
          <w:lang w:eastAsia="hr-HR"/>
        </w:rPr>
        <w:t>.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 xml:space="preserve"> 206. st</w:t>
      </w:r>
      <w:r w:rsidR="005656BB">
        <w:rPr>
          <w:rFonts w:ascii="Arial" w:hAnsi="Arial" w:cs="Arial"/>
          <w:sz w:val="24"/>
          <w:szCs w:val="24"/>
          <w:lang w:eastAsia="hr-HR"/>
        </w:rPr>
        <w:t>.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 xml:space="preserve"> 1. Prekršajnog zakona, odl</w:t>
      </w:r>
      <w:r w:rsidR="00AC641E">
        <w:rPr>
          <w:rFonts w:ascii="Arial" w:hAnsi="Arial" w:cs="Arial"/>
          <w:sz w:val="24"/>
          <w:szCs w:val="24"/>
          <w:lang w:eastAsia="hr-HR"/>
        </w:rPr>
        <w:t xml:space="preserve">učeno </w:t>
      </w:r>
      <w:r w:rsidR="004A505F">
        <w:rPr>
          <w:rFonts w:ascii="Arial" w:hAnsi="Arial" w:cs="Arial"/>
          <w:sz w:val="24"/>
          <w:szCs w:val="24"/>
          <w:lang w:eastAsia="hr-HR"/>
        </w:rPr>
        <w:t xml:space="preserve">je </w:t>
      </w:r>
      <w:r w:rsidR="00AC641E">
        <w:rPr>
          <w:rFonts w:ascii="Arial" w:hAnsi="Arial" w:cs="Arial"/>
          <w:sz w:val="24"/>
          <w:szCs w:val="24"/>
          <w:lang w:eastAsia="hr-HR"/>
        </w:rPr>
        <w:t>kao u izreci</w:t>
      </w:r>
      <w:r w:rsidRPr="00D277ED" w:rsidR="00D277ED">
        <w:rPr>
          <w:rFonts w:ascii="Arial" w:hAnsi="Arial" w:cs="Arial"/>
          <w:sz w:val="24"/>
          <w:szCs w:val="24"/>
          <w:lang w:eastAsia="hr-HR"/>
        </w:rPr>
        <w:t xml:space="preserve">. </w:t>
      </w:r>
    </w:p>
    <w:p w:rsidR="00D11E40" w:rsidP="00FB4D9F" w:rsidRDefault="008A65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Pr="001A2807" w:rsidR="00E84520" w:rsidP="00FB4D9F" w:rsidRDefault="008A659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Zagreb</w:t>
      </w:r>
      <w:r w:rsidR="00EC6BD4">
        <w:rPr>
          <w:rFonts w:ascii="Arial" w:hAnsi="Arial" w:cs="Arial"/>
          <w:sz w:val="24"/>
          <w:szCs w:val="24"/>
        </w:rPr>
        <w:t xml:space="preserve"> 3. veljače</w:t>
      </w:r>
      <w:r w:rsidRPr="001A2807" w:rsidR="00E84520">
        <w:rPr>
          <w:rFonts w:ascii="Arial" w:hAnsi="Arial" w:cs="Arial"/>
          <w:sz w:val="24"/>
          <w:szCs w:val="24"/>
        </w:rPr>
        <w:t xml:space="preserve"> </w:t>
      </w:r>
      <w:r w:rsidRPr="001A2807" w:rsidR="00131331">
        <w:rPr>
          <w:rFonts w:ascii="Arial" w:hAnsi="Arial" w:cs="Arial"/>
          <w:sz w:val="24"/>
          <w:szCs w:val="24"/>
        </w:rPr>
        <w:t>20</w:t>
      </w:r>
      <w:r w:rsidRPr="001A2807" w:rsidR="00F23E1E">
        <w:rPr>
          <w:rFonts w:ascii="Arial" w:hAnsi="Arial" w:cs="Arial"/>
          <w:sz w:val="24"/>
          <w:szCs w:val="24"/>
        </w:rPr>
        <w:t>2</w:t>
      </w:r>
      <w:r w:rsidR="00EC6BD4">
        <w:rPr>
          <w:rFonts w:ascii="Arial" w:hAnsi="Arial" w:cs="Arial"/>
          <w:sz w:val="24"/>
          <w:szCs w:val="24"/>
        </w:rPr>
        <w:t>6</w:t>
      </w:r>
      <w:r w:rsidRPr="001A2807" w:rsidR="00E84520">
        <w:rPr>
          <w:rFonts w:ascii="Arial" w:hAnsi="Arial" w:cs="Arial"/>
          <w:sz w:val="24"/>
          <w:szCs w:val="24"/>
        </w:rPr>
        <w:t>.</w:t>
      </w:r>
    </w:p>
    <w:p w:rsidR="00082543" w:rsidP="00FB4D9F" w:rsidRDefault="00082543">
      <w:pPr>
        <w:jc w:val="both"/>
        <w:rPr>
          <w:rFonts w:ascii="Arial" w:hAnsi="Arial" w:cs="Arial"/>
          <w:sz w:val="24"/>
          <w:szCs w:val="24"/>
        </w:rPr>
      </w:pPr>
    </w:p>
    <w:p w:rsidR="00D11E40" w:rsidP="00FB4D9F" w:rsidRDefault="007A6E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1066F" w:rsidP="00FB4D9F" w:rsidRDefault="007A6E57">
      <w:pPr>
        <w:jc w:val="both"/>
        <w:rPr>
          <w:rFonts w:ascii="Arial" w:hAnsi="Arial" w:cs="Arial"/>
          <w:sz w:val="24"/>
          <w:szCs w:val="24"/>
        </w:rPr>
      </w:pPr>
      <w:r w:rsidRPr="007A6E57">
        <w:rPr>
          <w:rFonts w:ascii="Arial" w:hAnsi="Arial" w:cs="Arial"/>
          <w:sz w:val="24"/>
          <w:szCs w:val="24"/>
        </w:rPr>
        <w:t>Zapisničarka</w:t>
      </w:r>
      <w:r w:rsidRPr="007A6E57">
        <w:rPr>
          <w:rFonts w:ascii="Arial" w:hAnsi="Arial" w:cs="Arial"/>
          <w:sz w:val="24"/>
          <w:szCs w:val="24"/>
        </w:rPr>
        <w:tab/>
        <w:t xml:space="preserve">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A1066F">
        <w:rPr>
          <w:rFonts w:ascii="Arial" w:hAnsi="Arial" w:cs="Arial"/>
          <w:sz w:val="24"/>
          <w:szCs w:val="24"/>
        </w:rPr>
        <w:t xml:space="preserve"> </w:t>
      </w:r>
      <w:r w:rsidR="00CC5CC5">
        <w:rPr>
          <w:rFonts w:ascii="Arial" w:hAnsi="Arial" w:cs="Arial"/>
          <w:sz w:val="24"/>
          <w:szCs w:val="24"/>
        </w:rPr>
        <w:t xml:space="preserve">        </w:t>
      </w:r>
      <w:r w:rsidRPr="007A6E57">
        <w:rPr>
          <w:rFonts w:ascii="Arial" w:hAnsi="Arial" w:cs="Arial"/>
          <w:sz w:val="24"/>
          <w:szCs w:val="24"/>
        </w:rPr>
        <w:tab/>
      </w:r>
      <w:r w:rsidRPr="007A6E57">
        <w:rPr>
          <w:rFonts w:ascii="Arial" w:hAnsi="Arial" w:cs="Arial"/>
          <w:sz w:val="24"/>
          <w:szCs w:val="24"/>
        </w:rPr>
        <w:tab/>
      </w:r>
      <w:r w:rsidR="00A1066F">
        <w:rPr>
          <w:rFonts w:ascii="Arial" w:hAnsi="Arial" w:cs="Arial"/>
          <w:sz w:val="24"/>
          <w:szCs w:val="24"/>
        </w:rPr>
        <w:t xml:space="preserve">      </w:t>
      </w:r>
      <w:r w:rsidR="00CC5CC5">
        <w:rPr>
          <w:rFonts w:ascii="Arial" w:hAnsi="Arial" w:cs="Arial"/>
          <w:sz w:val="24"/>
          <w:szCs w:val="24"/>
        </w:rPr>
        <w:t xml:space="preserve"> </w:t>
      </w:r>
      <w:r w:rsidR="00FB4D9F">
        <w:rPr>
          <w:rFonts w:ascii="Arial" w:hAnsi="Arial" w:cs="Arial"/>
          <w:sz w:val="24"/>
          <w:szCs w:val="24"/>
        </w:rPr>
        <w:t xml:space="preserve">                            </w:t>
      </w:r>
      <w:r w:rsidRPr="007A6E57">
        <w:rPr>
          <w:rFonts w:ascii="Arial" w:hAnsi="Arial" w:cs="Arial"/>
          <w:sz w:val="24"/>
          <w:szCs w:val="24"/>
        </w:rPr>
        <w:t>Preds</w:t>
      </w:r>
      <w:r w:rsidR="00426A84">
        <w:rPr>
          <w:rFonts w:ascii="Arial" w:hAnsi="Arial" w:cs="Arial"/>
          <w:sz w:val="24"/>
          <w:szCs w:val="24"/>
        </w:rPr>
        <w:t>j</w:t>
      </w:r>
      <w:r w:rsidRPr="007A6E57">
        <w:rPr>
          <w:rFonts w:ascii="Arial" w:hAnsi="Arial" w:cs="Arial"/>
          <w:sz w:val="24"/>
          <w:szCs w:val="24"/>
        </w:rPr>
        <w:t xml:space="preserve">ednica vijeća </w:t>
      </w:r>
    </w:p>
    <w:p w:rsidR="00700227" w:rsidP="00FB4D9F" w:rsidRDefault="00700227">
      <w:pPr>
        <w:jc w:val="both"/>
        <w:rPr>
          <w:rFonts w:ascii="Arial" w:hAnsi="Arial" w:cs="Arial"/>
          <w:sz w:val="24"/>
          <w:szCs w:val="24"/>
        </w:rPr>
      </w:pPr>
    </w:p>
    <w:p w:rsidRPr="007A6E57" w:rsidR="007A6E57" w:rsidP="00FB4D9F" w:rsidRDefault="00A1066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Ivana Vorel Mikša</w:t>
      </w:r>
      <w:r w:rsidRPr="007A6E57" w:rsidR="007A6E57">
        <w:rPr>
          <w:rFonts w:ascii="Arial" w:hAnsi="Arial" w:cs="Arial"/>
          <w:sz w:val="24"/>
          <w:szCs w:val="24"/>
        </w:rPr>
        <w:t xml:space="preserve">,v.r.              </w:t>
      </w:r>
      <w:r w:rsidR="007A6E57">
        <w:rPr>
          <w:rFonts w:ascii="Arial" w:hAnsi="Arial" w:cs="Arial"/>
          <w:sz w:val="24"/>
          <w:szCs w:val="24"/>
        </w:rPr>
        <w:t xml:space="preserve">  </w:t>
      </w:r>
      <w:r w:rsidR="00FB4D9F">
        <w:rPr>
          <w:rFonts w:ascii="Arial" w:hAnsi="Arial" w:cs="Arial"/>
          <w:sz w:val="24"/>
          <w:szCs w:val="24"/>
        </w:rPr>
        <w:tab/>
      </w:r>
      <w:r w:rsidR="00FB4D9F">
        <w:rPr>
          <w:rFonts w:ascii="Arial" w:hAnsi="Arial" w:cs="Arial"/>
          <w:sz w:val="24"/>
          <w:szCs w:val="24"/>
        </w:rPr>
        <w:tab/>
      </w:r>
      <w:r w:rsidR="00FB4D9F">
        <w:rPr>
          <w:rFonts w:ascii="Arial" w:hAnsi="Arial" w:cs="Arial"/>
          <w:sz w:val="24"/>
          <w:szCs w:val="24"/>
        </w:rPr>
        <w:tab/>
      </w:r>
      <w:r w:rsidR="00FB4D9F">
        <w:rPr>
          <w:rFonts w:ascii="Arial" w:hAnsi="Arial" w:cs="Arial"/>
          <w:sz w:val="24"/>
          <w:szCs w:val="24"/>
        </w:rPr>
        <w:tab/>
      </w:r>
      <w:r w:rsidR="00FB4D9F">
        <w:rPr>
          <w:rFonts w:ascii="Arial" w:hAnsi="Arial" w:cs="Arial"/>
          <w:sz w:val="24"/>
          <w:szCs w:val="24"/>
        </w:rPr>
        <w:tab/>
        <w:t xml:space="preserve">   </w:t>
      </w:r>
      <w:r w:rsidRPr="007A6E57" w:rsidR="007A6E57">
        <w:rPr>
          <w:rFonts w:ascii="Arial" w:hAnsi="Arial" w:cs="Arial"/>
          <w:sz w:val="24"/>
          <w:szCs w:val="24"/>
        </w:rPr>
        <w:t>Katica Lučić,v.r.</w:t>
      </w:r>
    </w:p>
    <w:p w:rsidR="009325E0" w:rsidP="00FB4D9F" w:rsidRDefault="009325E0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681DF9" w:rsidP="00FB4D9F" w:rsidRDefault="00681DF9">
      <w:pPr>
        <w:jc w:val="both"/>
        <w:rPr>
          <w:rFonts w:ascii="Arial" w:hAnsi="Arial" w:cs="Arial"/>
          <w:sz w:val="24"/>
          <w:szCs w:val="24"/>
        </w:rPr>
      </w:pPr>
    </w:p>
    <w:p w:rsidRPr="001A2807" w:rsidR="00E84520" w:rsidP="00FB4D9F" w:rsidRDefault="00E84520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A2807">
        <w:rPr>
          <w:rFonts w:ascii="Arial" w:hAnsi="Arial" w:cs="Arial"/>
          <w:sz w:val="24"/>
          <w:szCs w:val="24"/>
        </w:rPr>
        <w:t xml:space="preserve">Rješenje se dostavlja </w:t>
      </w:r>
      <w:r w:rsidRPr="001A2807" w:rsidR="00131331">
        <w:rPr>
          <w:rFonts w:ascii="Arial" w:hAnsi="Arial" w:cs="Arial"/>
          <w:sz w:val="24"/>
          <w:szCs w:val="24"/>
        </w:rPr>
        <w:t>Općinskom</w:t>
      </w:r>
      <w:r w:rsidR="009325E0">
        <w:rPr>
          <w:rFonts w:ascii="Arial" w:hAnsi="Arial" w:cs="Arial"/>
          <w:sz w:val="24"/>
          <w:szCs w:val="24"/>
        </w:rPr>
        <w:t xml:space="preserve"> </w:t>
      </w:r>
      <w:r w:rsidR="009E2BD6">
        <w:rPr>
          <w:rFonts w:ascii="Arial" w:hAnsi="Arial" w:cs="Arial"/>
          <w:sz w:val="24"/>
          <w:szCs w:val="24"/>
        </w:rPr>
        <w:t xml:space="preserve">sudu </w:t>
      </w:r>
      <w:r w:rsidR="00765D4F">
        <w:rPr>
          <w:rFonts w:ascii="Arial" w:hAnsi="Arial" w:cs="Arial"/>
          <w:sz w:val="24"/>
          <w:szCs w:val="24"/>
        </w:rPr>
        <w:t>u Dubrovnik</w:t>
      </w:r>
      <w:r w:rsidR="009325E0">
        <w:rPr>
          <w:rFonts w:ascii="Arial" w:hAnsi="Arial" w:cs="Arial"/>
          <w:sz w:val="24"/>
          <w:szCs w:val="24"/>
        </w:rPr>
        <w:t>u</w:t>
      </w:r>
      <w:r w:rsidRPr="001A2807">
        <w:rPr>
          <w:rFonts w:ascii="Arial" w:hAnsi="Arial" w:cs="Arial"/>
          <w:sz w:val="24"/>
          <w:szCs w:val="24"/>
        </w:rPr>
        <w:t>, u</w:t>
      </w:r>
      <w:r w:rsidR="00696CC8">
        <w:rPr>
          <w:rFonts w:ascii="Arial" w:hAnsi="Arial" w:cs="Arial"/>
          <w:sz w:val="24"/>
          <w:szCs w:val="24"/>
        </w:rPr>
        <w:t xml:space="preserve"> </w:t>
      </w:r>
      <w:r w:rsidR="00765D4F">
        <w:rPr>
          <w:rFonts w:ascii="Arial" w:hAnsi="Arial" w:cs="Arial"/>
          <w:sz w:val="24"/>
          <w:szCs w:val="24"/>
        </w:rPr>
        <w:t>6</w:t>
      </w:r>
      <w:r w:rsidR="00696CC8">
        <w:rPr>
          <w:rFonts w:ascii="Arial" w:hAnsi="Arial" w:cs="Arial"/>
          <w:sz w:val="24"/>
          <w:szCs w:val="24"/>
        </w:rPr>
        <w:t xml:space="preserve"> (</w:t>
      </w:r>
      <w:r w:rsidR="00765D4F">
        <w:rPr>
          <w:rFonts w:ascii="Arial" w:hAnsi="Arial" w:cs="Arial"/>
          <w:sz w:val="24"/>
          <w:szCs w:val="24"/>
        </w:rPr>
        <w:t>šest</w:t>
      </w:r>
      <w:r w:rsidR="00696CC8">
        <w:rPr>
          <w:rFonts w:ascii="Arial" w:hAnsi="Arial" w:cs="Arial"/>
          <w:sz w:val="24"/>
          <w:szCs w:val="24"/>
        </w:rPr>
        <w:t>)</w:t>
      </w:r>
      <w:r w:rsidR="00155615">
        <w:rPr>
          <w:rFonts w:ascii="Arial" w:hAnsi="Arial" w:cs="Arial"/>
          <w:sz w:val="24"/>
          <w:szCs w:val="24"/>
        </w:rPr>
        <w:t xml:space="preserve"> otprav</w:t>
      </w:r>
      <w:r w:rsidR="00765D4F">
        <w:rPr>
          <w:rFonts w:ascii="Arial" w:hAnsi="Arial" w:cs="Arial"/>
          <w:sz w:val="24"/>
          <w:szCs w:val="24"/>
        </w:rPr>
        <w:t>a</w:t>
      </w:r>
      <w:r w:rsidR="00155615">
        <w:rPr>
          <w:rFonts w:ascii="Arial" w:hAnsi="Arial" w:cs="Arial"/>
          <w:sz w:val="24"/>
          <w:szCs w:val="24"/>
        </w:rPr>
        <w:t>ka: za spis, okr</w:t>
      </w:r>
      <w:r w:rsidR="009E2BD6">
        <w:rPr>
          <w:rFonts w:ascii="Arial" w:hAnsi="Arial" w:cs="Arial"/>
          <w:sz w:val="24"/>
          <w:szCs w:val="24"/>
        </w:rPr>
        <w:t>ivljeni</w:t>
      </w:r>
      <w:r w:rsidR="00765D4F">
        <w:rPr>
          <w:rFonts w:ascii="Arial" w:hAnsi="Arial" w:cs="Arial"/>
          <w:sz w:val="24"/>
          <w:szCs w:val="24"/>
        </w:rPr>
        <w:t>ce, branitelja</w:t>
      </w:r>
      <w:r w:rsidR="009325E0">
        <w:rPr>
          <w:rFonts w:ascii="Arial" w:hAnsi="Arial" w:cs="Arial"/>
          <w:sz w:val="24"/>
          <w:szCs w:val="24"/>
        </w:rPr>
        <w:t xml:space="preserve"> </w:t>
      </w:r>
      <w:r w:rsidRPr="001A2807">
        <w:rPr>
          <w:rFonts w:ascii="Arial" w:hAnsi="Arial" w:cs="Arial"/>
          <w:sz w:val="24"/>
          <w:szCs w:val="24"/>
        </w:rPr>
        <w:t>i tužitelja.</w:t>
      </w:r>
    </w:p>
    <w:p w:rsidR="00A76B4B" w:rsidP="00FB4D9F" w:rsidRDefault="00A76B4B">
      <w:pPr>
        <w:rPr>
          <w:rFonts w:ascii="Arial" w:hAnsi="Arial" w:cs="Arial"/>
          <w:sz w:val="24"/>
          <w:szCs w:val="24"/>
        </w:rPr>
      </w:pPr>
    </w:p>
    <w:p w:rsidRPr="001A2807" w:rsidR="00E84520" w:rsidP="00FB4D9F" w:rsidRDefault="00FB4D9F">
      <w:pPr>
        <w:ind w:left="2880"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Za točnost otpravka – ovlašteni službenik</w:t>
      </w:r>
    </w:p>
    <w:p w:rsidR="00E84520" w:rsidP="00FB4D9F" w:rsidRDefault="00932F2C">
      <w:pPr>
        <w:ind w:left="2160"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FB4D9F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FB4D9F">
        <w:rPr>
          <w:rFonts w:ascii="Arial" w:hAnsi="Arial" w:cs="Arial"/>
          <w:sz w:val="24"/>
          <w:szCs w:val="24"/>
        </w:rPr>
        <w:t xml:space="preserve">     </w:t>
      </w:r>
      <w:r w:rsidR="00CC5CC5">
        <w:rPr>
          <w:rFonts w:ascii="Arial" w:hAnsi="Arial" w:cs="Arial"/>
          <w:sz w:val="24"/>
          <w:szCs w:val="24"/>
        </w:rPr>
        <w:t>Upraviteljica</w:t>
      </w:r>
      <w:r w:rsidRPr="001A2807" w:rsidR="00E84520">
        <w:rPr>
          <w:rFonts w:ascii="Arial" w:hAnsi="Arial" w:cs="Arial"/>
          <w:sz w:val="24"/>
          <w:szCs w:val="24"/>
        </w:rPr>
        <w:t xml:space="preserve"> </w:t>
      </w:r>
      <w:r w:rsidR="001723EE">
        <w:rPr>
          <w:rFonts w:ascii="Arial" w:hAnsi="Arial" w:cs="Arial"/>
          <w:sz w:val="24"/>
          <w:szCs w:val="24"/>
        </w:rPr>
        <w:t xml:space="preserve">zajedničke </w:t>
      </w:r>
      <w:r w:rsidRPr="001A2807" w:rsidR="00E84520">
        <w:rPr>
          <w:rFonts w:ascii="Arial" w:hAnsi="Arial" w:cs="Arial"/>
          <w:sz w:val="24"/>
          <w:szCs w:val="24"/>
        </w:rPr>
        <w:t>sudske pisarnice</w:t>
      </w:r>
    </w:p>
    <w:p w:rsidRPr="001A2807" w:rsidR="00FB4D9F" w:rsidP="00FB4D9F" w:rsidRDefault="00FB4D9F">
      <w:pPr>
        <w:ind w:left="2160" w:firstLine="720"/>
        <w:jc w:val="center"/>
        <w:rPr>
          <w:rFonts w:ascii="Arial" w:hAnsi="Arial" w:cs="Arial"/>
          <w:sz w:val="24"/>
          <w:szCs w:val="24"/>
        </w:rPr>
      </w:pPr>
    </w:p>
    <w:p w:rsidRPr="001A2807" w:rsidR="00E84520" w:rsidP="00FB4D9F" w:rsidRDefault="00BE54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</w:t>
      </w:r>
      <w:r w:rsidR="00CC5CC5">
        <w:rPr>
          <w:rFonts w:ascii="Arial" w:hAnsi="Arial" w:cs="Arial"/>
          <w:b/>
          <w:sz w:val="24"/>
          <w:szCs w:val="24"/>
        </w:rPr>
        <w:t xml:space="preserve">  </w:t>
      </w:r>
      <w:r w:rsidR="00FB4D9F">
        <w:rPr>
          <w:rFonts w:ascii="Arial" w:hAnsi="Arial" w:cs="Arial"/>
          <w:b/>
          <w:sz w:val="24"/>
          <w:szCs w:val="24"/>
        </w:rPr>
        <w:t xml:space="preserve">      </w:t>
      </w:r>
      <w:r w:rsidR="00CF4204">
        <w:rPr>
          <w:rFonts w:ascii="Arial" w:hAnsi="Arial" w:cs="Arial"/>
          <w:sz w:val="24"/>
          <w:szCs w:val="24"/>
        </w:rPr>
        <w:t>Edita Vrkljan</w:t>
      </w:r>
    </w:p>
    <w:sectPr w:rsidRPr="001A2807" w:rsidR="00E84520" w:rsidSect="00CC5CC5">
      <w:headerReference w:type="default" r:id="rId12"/>
      <w:headerReference w:type="first" r:id="rId13"/>
      <w:footnotePr>
        <w:pos w:val="beneathText"/>
      </w:footnotePr>
      <w:pgSz w:w="11905" w:h="16837"/>
      <w:pgMar w:top="1418" w:right="1418" w:bottom="1418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6753" w:rsidRDefault="00366753">
      <w:r>
        <w:separator/>
      </w:r>
    </w:p>
  </w:endnote>
  <w:endnote w:type="continuationSeparator" w:id="0">
    <w:p w:rsidR="00366753" w:rsidRDefault="0036675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6753" w:rsidRDefault="00366753">
      <w:r>
        <w:separator/>
      </w:r>
    </w:p>
  </w:footnote>
  <w:footnote w:type="continuationSeparator" w:id="0">
    <w:p w:rsidR="00366753" w:rsidRDefault="0036675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693C" w:rsidR="002E7120" w:rsidRDefault="002E7120">
    <w:pPr>
      <w:pStyle w:val="Zaglavlje"/>
      <w:jc w:val="center"/>
      <w:rPr>
        <w:rFonts w:ascii="Arial" w:hAnsi="Arial" w:cs="Arial"/>
        <w:sz w:val="24"/>
        <w:szCs w:val="24"/>
      </w:rPr>
    </w:pPr>
    <w:r w:rsidRPr="0042693C">
      <w:rPr>
        <w:rFonts w:ascii="Arial" w:hAnsi="Arial" w:cs="Arial"/>
        <w:sz w:val="24"/>
        <w:szCs w:val="24"/>
      </w:rPr>
      <w:fldChar w:fldCharType="begin"/>
    </w:r>
    <w:r w:rsidRPr="0042693C">
      <w:rPr>
        <w:rFonts w:ascii="Arial" w:hAnsi="Arial" w:cs="Arial"/>
        <w:sz w:val="24"/>
        <w:szCs w:val="24"/>
      </w:rPr>
      <w:instrText>PAGE   \* MERGEFORMAT</w:instrText>
    </w:r>
    <w:r w:rsidRPr="0042693C">
      <w:rPr>
        <w:rFonts w:ascii="Arial" w:hAnsi="Arial" w:cs="Arial"/>
        <w:sz w:val="24"/>
        <w:szCs w:val="24"/>
      </w:rPr>
      <w:fldChar w:fldCharType="separate"/>
    </w:r>
    <w:r w:rsidR="00E93082">
      <w:rPr>
        <w:rFonts w:ascii="Arial" w:hAnsi="Arial" w:cs="Arial"/>
        <w:noProof/>
        <w:sz w:val="24"/>
        <w:szCs w:val="24"/>
      </w:rPr>
      <w:t>3</w:t>
    </w:r>
    <w:r w:rsidRPr="0042693C">
      <w:rPr>
        <w:rFonts w:ascii="Arial" w:hAnsi="Arial" w:cs="Arial"/>
        <w:sz w:val="24"/>
        <w:szCs w:val="24"/>
      </w:rPr>
      <w:fldChar w:fldCharType="end"/>
    </w:r>
  </w:p>
  <w:p w:rsidR="00D53521" w:rsidP="00CC5CC5" w:rsidRDefault="00CC5CC5">
    <w:pPr>
      <w:pStyle w:val="Zaglavlje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                                                                                                        </w:t>
    </w:r>
    <w:r w:rsidR="00DF7B4C">
      <w:rPr>
        <w:rFonts w:ascii="Arial" w:hAnsi="Arial" w:cs="Arial"/>
        <w:sz w:val="24"/>
        <w:szCs w:val="24"/>
      </w:rPr>
      <w:t>Broj: Pp</w:t>
    </w:r>
    <w:r w:rsidRPr="0042693C" w:rsidR="00CC69E9">
      <w:rPr>
        <w:rFonts w:ascii="Arial" w:hAnsi="Arial" w:cs="Arial"/>
        <w:sz w:val="24"/>
        <w:szCs w:val="24"/>
      </w:rPr>
      <w:t>ž</w:t>
    </w:r>
    <w:r w:rsidRPr="0042693C" w:rsidR="003C6F6B">
      <w:rPr>
        <w:rFonts w:ascii="Arial" w:hAnsi="Arial" w:cs="Arial"/>
        <w:sz w:val="24"/>
        <w:szCs w:val="24"/>
      </w:rPr>
      <w:t>-</w:t>
    </w:r>
    <w:r w:rsidR="00E92903">
      <w:rPr>
        <w:rFonts w:ascii="Arial" w:hAnsi="Arial" w:cs="Arial"/>
        <w:sz w:val="24"/>
        <w:szCs w:val="24"/>
      </w:rPr>
      <w:t>293</w:t>
    </w:r>
    <w:r w:rsidRPr="0042693C" w:rsidR="003C6F6B">
      <w:rPr>
        <w:rFonts w:ascii="Arial" w:hAnsi="Arial" w:cs="Arial"/>
        <w:sz w:val="24"/>
        <w:szCs w:val="24"/>
      </w:rPr>
      <w:t>/20</w:t>
    </w:r>
    <w:r w:rsidR="00DF7B4C">
      <w:rPr>
        <w:rFonts w:ascii="Arial" w:hAnsi="Arial" w:cs="Arial"/>
        <w:sz w:val="24"/>
        <w:szCs w:val="24"/>
      </w:rPr>
      <w:t>2</w:t>
    </w:r>
    <w:r w:rsidR="00E92903">
      <w:rPr>
        <w:rFonts w:ascii="Arial" w:hAnsi="Arial" w:cs="Arial"/>
        <w:sz w:val="24"/>
        <w:szCs w:val="24"/>
      </w:rPr>
      <w:t>6</w:t>
    </w:r>
  </w:p>
  <w:p w:rsidRPr="0042693C" w:rsidR="0042693C" w:rsidRDefault="0042693C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5CC5" w:rsidP="00CC5CC5" w:rsidRDefault="00CC5CC5">
    <w:pPr>
      <w:pStyle w:val="Zaglavlje"/>
      <w:spacing w:before="26" w:after="26"/>
      <w:ind w:left="57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slov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B0168F"/>
    <w:multiLevelType w:val="hybridMultilevel"/>
    <w:tmpl w:val="BE2C5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95015"/>
    <w:multiLevelType w:val="hybridMultilevel"/>
    <w:tmpl w:val="C63A2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43D34"/>
    <w:multiLevelType w:val="hybridMultilevel"/>
    <w:tmpl w:val="12CEBF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D543B"/>
    <w:multiLevelType w:val="hybridMultilevel"/>
    <w:tmpl w:val="F224FF42"/>
    <w:lvl w:ilvl="0" w:tplc="A05A3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064123"/>
    <w:multiLevelType w:val="hybridMultilevel"/>
    <w:tmpl w:val="7FBA9726"/>
    <w:lvl w:ilvl="0" w:tplc="B194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5F42CF"/>
    <w:multiLevelType w:val="hybridMultilevel"/>
    <w:tmpl w:val="DB528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272AB"/>
    <w:multiLevelType w:val="hybridMultilevel"/>
    <w:tmpl w:val="93606CBC"/>
    <w:lvl w:ilvl="0" w:tplc="D7743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675263"/>
    <w:multiLevelType w:val="hybridMultilevel"/>
    <w:tmpl w:val="047C4B2A"/>
    <w:lvl w:ilvl="0" w:tplc="EB863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spidmax="4097" v:ext="edit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120"/>
    <w:rsid w:val="00001CCF"/>
    <w:rsid w:val="00016076"/>
    <w:rsid w:val="000164CB"/>
    <w:rsid w:val="00026C13"/>
    <w:rsid w:val="0003494F"/>
    <w:rsid w:val="00037F08"/>
    <w:rsid w:val="00053739"/>
    <w:rsid w:val="00055A47"/>
    <w:rsid w:val="0007527F"/>
    <w:rsid w:val="00076F49"/>
    <w:rsid w:val="00077001"/>
    <w:rsid w:val="00077E1B"/>
    <w:rsid w:val="00082543"/>
    <w:rsid w:val="00087F37"/>
    <w:rsid w:val="000932DF"/>
    <w:rsid w:val="000A0F4F"/>
    <w:rsid w:val="000A24F3"/>
    <w:rsid w:val="000A310A"/>
    <w:rsid w:val="000B0FFC"/>
    <w:rsid w:val="000B756A"/>
    <w:rsid w:val="000C25CA"/>
    <w:rsid w:val="000C68BE"/>
    <w:rsid w:val="000D530F"/>
    <w:rsid w:val="000D569B"/>
    <w:rsid w:val="000F3DB8"/>
    <w:rsid w:val="0010038B"/>
    <w:rsid w:val="00102DF6"/>
    <w:rsid w:val="001158C5"/>
    <w:rsid w:val="00116A97"/>
    <w:rsid w:val="001300BA"/>
    <w:rsid w:val="00131331"/>
    <w:rsid w:val="00134210"/>
    <w:rsid w:val="00145009"/>
    <w:rsid w:val="00147FBA"/>
    <w:rsid w:val="00150663"/>
    <w:rsid w:val="00155615"/>
    <w:rsid w:val="00164BA1"/>
    <w:rsid w:val="001723EE"/>
    <w:rsid w:val="00181274"/>
    <w:rsid w:val="001A2807"/>
    <w:rsid w:val="001B2273"/>
    <w:rsid w:val="001C0F0B"/>
    <w:rsid w:val="001C404D"/>
    <w:rsid w:val="001E112E"/>
    <w:rsid w:val="002025CE"/>
    <w:rsid w:val="0021472D"/>
    <w:rsid w:val="00221735"/>
    <w:rsid w:val="002260B3"/>
    <w:rsid w:val="00232EF4"/>
    <w:rsid w:val="00236325"/>
    <w:rsid w:val="00262B49"/>
    <w:rsid w:val="00283AE9"/>
    <w:rsid w:val="002850DB"/>
    <w:rsid w:val="00291425"/>
    <w:rsid w:val="00296A71"/>
    <w:rsid w:val="002B5FE6"/>
    <w:rsid w:val="002C434C"/>
    <w:rsid w:val="002D26E8"/>
    <w:rsid w:val="002D327E"/>
    <w:rsid w:val="002D6B75"/>
    <w:rsid w:val="002E33C5"/>
    <w:rsid w:val="002E7120"/>
    <w:rsid w:val="002F0B84"/>
    <w:rsid w:val="002F4A15"/>
    <w:rsid w:val="00304DCF"/>
    <w:rsid w:val="003075B6"/>
    <w:rsid w:val="0031510C"/>
    <w:rsid w:val="00317A8A"/>
    <w:rsid w:val="00317FEF"/>
    <w:rsid w:val="00322C8C"/>
    <w:rsid w:val="00323590"/>
    <w:rsid w:val="00326CE0"/>
    <w:rsid w:val="00341B50"/>
    <w:rsid w:val="0036258E"/>
    <w:rsid w:val="00363DD8"/>
    <w:rsid w:val="003641EF"/>
    <w:rsid w:val="00365020"/>
    <w:rsid w:val="0036609F"/>
    <w:rsid w:val="00366753"/>
    <w:rsid w:val="00380E25"/>
    <w:rsid w:val="00383E38"/>
    <w:rsid w:val="00387C1E"/>
    <w:rsid w:val="00392D76"/>
    <w:rsid w:val="003A15FF"/>
    <w:rsid w:val="003A228F"/>
    <w:rsid w:val="003C6F6B"/>
    <w:rsid w:val="003E435F"/>
    <w:rsid w:val="00410622"/>
    <w:rsid w:val="00415351"/>
    <w:rsid w:val="0042693C"/>
    <w:rsid w:val="00426A84"/>
    <w:rsid w:val="00432982"/>
    <w:rsid w:val="00433601"/>
    <w:rsid w:val="004404D0"/>
    <w:rsid w:val="004478C7"/>
    <w:rsid w:val="004603D9"/>
    <w:rsid w:val="004604A7"/>
    <w:rsid w:val="00476E80"/>
    <w:rsid w:val="00482874"/>
    <w:rsid w:val="00484242"/>
    <w:rsid w:val="00486785"/>
    <w:rsid w:val="004A505F"/>
    <w:rsid w:val="004B2CD2"/>
    <w:rsid w:val="004B5245"/>
    <w:rsid w:val="004B64D8"/>
    <w:rsid w:val="004C18D6"/>
    <w:rsid w:val="004D0337"/>
    <w:rsid w:val="004D124E"/>
    <w:rsid w:val="004D5CE8"/>
    <w:rsid w:val="004D74DF"/>
    <w:rsid w:val="004E4795"/>
    <w:rsid w:val="004E524E"/>
    <w:rsid w:val="004F1D32"/>
    <w:rsid w:val="004F23AC"/>
    <w:rsid w:val="005006BE"/>
    <w:rsid w:val="00513112"/>
    <w:rsid w:val="005142ED"/>
    <w:rsid w:val="005166C7"/>
    <w:rsid w:val="0051681F"/>
    <w:rsid w:val="005200EB"/>
    <w:rsid w:val="005218DC"/>
    <w:rsid w:val="00524ACD"/>
    <w:rsid w:val="00525842"/>
    <w:rsid w:val="0054707A"/>
    <w:rsid w:val="005656BB"/>
    <w:rsid w:val="00572E95"/>
    <w:rsid w:val="005769E5"/>
    <w:rsid w:val="00577703"/>
    <w:rsid w:val="005877BD"/>
    <w:rsid w:val="00587EDA"/>
    <w:rsid w:val="00590A7A"/>
    <w:rsid w:val="00594A69"/>
    <w:rsid w:val="00597F06"/>
    <w:rsid w:val="005A3333"/>
    <w:rsid w:val="005A4198"/>
    <w:rsid w:val="005B1CC6"/>
    <w:rsid w:val="005C5673"/>
    <w:rsid w:val="005D4185"/>
    <w:rsid w:val="005E0F78"/>
    <w:rsid w:val="005E3125"/>
    <w:rsid w:val="005E4177"/>
    <w:rsid w:val="005E4608"/>
    <w:rsid w:val="005F7D79"/>
    <w:rsid w:val="00607DB4"/>
    <w:rsid w:val="006162E5"/>
    <w:rsid w:val="00616772"/>
    <w:rsid w:val="00622A66"/>
    <w:rsid w:val="0062620E"/>
    <w:rsid w:val="00632598"/>
    <w:rsid w:val="00637A78"/>
    <w:rsid w:val="00651B28"/>
    <w:rsid w:val="00652B22"/>
    <w:rsid w:val="006708E2"/>
    <w:rsid w:val="006742A4"/>
    <w:rsid w:val="00680360"/>
    <w:rsid w:val="00681DF9"/>
    <w:rsid w:val="0068348B"/>
    <w:rsid w:val="006848F1"/>
    <w:rsid w:val="006951EF"/>
    <w:rsid w:val="00696696"/>
    <w:rsid w:val="00696CC8"/>
    <w:rsid w:val="00696E28"/>
    <w:rsid w:val="006A1C8E"/>
    <w:rsid w:val="006A35CE"/>
    <w:rsid w:val="006A623C"/>
    <w:rsid w:val="006B252B"/>
    <w:rsid w:val="006C3BDC"/>
    <w:rsid w:val="006C4819"/>
    <w:rsid w:val="006D324D"/>
    <w:rsid w:val="006D488A"/>
    <w:rsid w:val="006E20E4"/>
    <w:rsid w:val="006F322A"/>
    <w:rsid w:val="00700227"/>
    <w:rsid w:val="0070218D"/>
    <w:rsid w:val="0070376A"/>
    <w:rsid w:val="00710DCB"/>
    <w:rsid w:val="00721639"/>
    <w:rsid w:val="007329E7"/>
    <w:rsid w:val="00735436"/>
    <w:rsid w:val="007515E2"/>
    <w:rsid w:val="00754C98"/>
    <w:rsid w:val="00755BAD"/>
    <w:rsid w:val="0075778E"/>
    <w:rsid w:val="007639A6"/>
    <w:rsid w:val="00765D4F"/>
    <w:rsid w:val="00766EF6"/>
    <w:rsid w:val="00771E25"/>
    <w:rsid w:val="007746B4"/>
    <w:rsid w:val="0077763D"/>
    <w:rsid w:val="0078216C"/>
    <w:rsid w:val="0078648C"/>
    <w:rsid w:val="007963ED"/>
    <w:rsid w:val="007A3B26"/>
    <w:rsid w:val="007A6E57"/>
    <w:rsid w:val="007B08FA"/>
    <w:rsid w:val="007C4279"/>
    <w:rsid w:val="007C5D84"/>
    <w:rsid w:val="007D2347"/>
    <w:rsid w:val="007D26BC"/>
    <w:rsid w:val="007D60D4"/>
    <w:rsid w:val="007D70B2"/>
    <w:rsid w:val="007D7E54"/>
    <w:rsid w:val="007E1128"/>
    <w:rsid w:val="007F3D5F"/>
    <w:rsid w:val="00800AB4"/>
    <w:rsid w:val="00815C50"/>
    <w:rsid w:val="008229BB"/>
    <w:rsid w:val="00824B7E"/>
    <w:rsid w:val="00825445"/>
    <w:rsid w:val="00827199"/>
    <w:rsid w:val="00827BD3"/>
    <w:rsid w:val="00833658"/>
    <w:rsid w:val="0083633A"/>
    <w:rsid w:val="00851BDE"/>
    <w:rsid w:val="00862168"/>
    <w:rsid w:val="00863F92"/>
    <w:rsid w:val="00874B46"/>
    <w:rsid w:val="00884E5E"/>
    <w:rsid w:val="008A659E"/>
    <w:rsid w:val="008B528A"/>
    <w:rsid w:val="008B7CC0"/>
    <w:rsid w:val="008E6D75"/>
    <w:rsid w:val="009122CE"/>
    <w:rsid w:val="00912323"/>
    <w:rsid w:val="00922A3A"/>
    <w:rsid w:val="00932086"/>
    <w:rsid w:val="009325E0"/>
    <w:rsid w:val="00932F2C"/>
    <w:rsid w:val="009418DB"/>
    <w:rsid w:val="009509C9"/>
    <w:rsid w:val="009536F8"/>
    <w:rsid w:val="00965873"/>
    <w:rsid w:val="009676C8"/>
    <w:rsid w:val="009706A5"/>
    <w:rsid w:val="009737F7"/>
    <w:rsid w:val="009743C0"/>
    <w:rsid w:val="00974DEC"/>
    <w:rsid w:val="00981616"/>
    <w:rsid w:val="00985DC5"/>
    <w:rsid w:val="00990222"/>
    <w:rsid w:val="00995DCF"/>
    <w:rsid w:val="00997BCC"/>
    <w:rsid w:val="009A2CD1"/>
    <w:rsid w:val="009A3594"/>
    <w:rsid w:val="009A53A3"/>
    <w:rsid w:val="009B2CD0"/>
    <w:rsid w:val="009C6FD1"/>
    <w:rsid w:val="009D7260"/>
    <w:rsid w:val="009E2BD6"/>
    <w:rsid w:val="009E5810"/>
    <w:rsid w:val="009F72B3"/>
    <w:rsid w:val="00A04383"/>
    <w:rsid w:val="00A05DEB"/>
    <w:rsid w:val="00A1066F"/>
    <w:rsid w:val="00A10680"/>
    <w:rsid w:val="00A24385"/>
    <w:rsid w:val="00A430B5"/>
    <w:rsid w:val="00A76B4B"/>
    <w:rsid w:val="00A7794A"/>
    <w:rsid w:val="00A81D27"/>
    <w:rsid w:val="00A87C9F"/>
    <w:rsid w:val="00A90174"/>
    <w:rsid w:val="00A9487C"/>
    <w:rsid w:val="00A95031"/>
    <w:rsid w:val="00AA3F2C"/>
    <w:rsid w:val="00AA5FFC"/>
    <w:rsid w:val="00AB66BC"/>
    <w:rsid w:val="00AC22C8"/>
    <w:rsid w:val="00AC641E"/>
    <w:rsid w:val="00AD07AA"/>
    <w:rsid w:val="00AE2389"/>
    <w:rsid w:val="00AE63EE"/>
    <w:rsid w:val="00B023A4"/>
    <w:rsid w:val="00B06548"/>
    <w:rsid w:val="00B06724"/>
    <w:rsid w:val="00B166EB"/>
    <w:rsid w:val="00B202ED"/>
    <w:rsid w:val="00B276A2"/>
    <w:rsid w:val="00B31E12"/>
    <w:rsid w:val="00B33E74"/>
    <w:rsid w:val="00B46FC3"/>
    <w:rsid w:val="00B47BE6"/>
    <w:rsid w:val="00B527DE"/>
    <w:rsid w:val="00B544AE"/>
    <w:rsid w:val="00B54FA5"/>
    <w:rsid w:val="00B77812"/>
    <w:rsid w:val="00B94D86"/>
    <w:rsid w:val="00B97AB9"/>
    <w:rsid w:val="00BA6A25"/>
    <w:rsid w:val="00BB0EC5"/>
    <w:rsid w:val="00BB6C85"/>
    <w:rsid w:val="00BC0071"/>
    <w:rsid w:val="00BD273B"/>
    <w:rsid w:val="00BD5120"/>
    <w:rsid w:val="00BE5405"/>
    <w:rsid w:val="00BF652F"/>
    <w:rsid w:val="00C05A15"/>
    <w:rsid w:val="00C10413"/>
    <w:rsid w:val="00C20FE0"/>
    <w:rsid w:val="00C22558"/>
    <w:rsid w:val="00C22AF1"/>
    <w:rsid w:val="00C30072"/>
    <w:rsid w:val="00C32BE9"/>
    <w:rsid w:val="00C3316B"/>
    <w:rsid w:val="00C467FF"/>
    <w:rsid w:val="00C72CC8"/>
    <w:rsid w:val="00C73ED1"/>
    <w:rsid w:val="00C75DBA"/>
    <w:rsid w:val="00C77688"/>
    <w:rsid w:val="00C778BE"/>
    <w:rsid w:val="00C84A31"/>
    <w:rsid w:val="00CA011A"/>
    <w:rsid w:val="00CC5CC5"/>
    <w:rsid w:val="00CC69E9"/>
    <w:rsid w:val="00CD553C"/>
    <w:rsid w:val="00CE06AC"/>
    <w:rsid w:val="00CF2338"/>
    <w:rsid w:val="00CF4204"/>
    <w:rsid w:val="00CF5474"/>
    <w:rsid w:val="00D01874"/>
    <w:rsid w:val="00D03875"/>
    <w:rsid w:val="00D11E40"/>
    <w:rsid w:val="00D13A17"/>
    <w:rsid w:val="00D17C2C"/>
    <w:rsid w:val="00D218AC"/>
    <w:rsid w:val="00D21A2A"/>
    <w:rsid w:val="00D25A82"/>
    <w:rsid w:val="00D277ED"/>
    <w:rsid w:val="00D31268"/>
    <w:rsid w:val="00D3326A"/>
    <w:rsid w:val="00D35AB3"/>
    <w:rsid w:val="00D37EF2"/>
    <w:rsid w:val="00D40AD2"/>
    <w:rsid w:val="00D43E4E"/>
    <w:rsid w:val="00D529F3"/>
    <w:rsid w:val="00D53521"/>
    <w:rsid w:val="00D5444F"/>
    <w:rsid w:val="00D5569B"/>
    <w:rsid w:val="00D559F8"/>
    <w:rsid w:val="00D57BAD"/>
    <w:rsid w:val="00D629A6"/>
    <w:rsid w:val="00D62AEB"/>
    <w:rsid w:val="00D77BCC"/>
    <w:rsid w:val="00D80DA3"/>
    <w:rsid w:val="00D81A90"/>
    <w:rsid w:val="00D83623"/>
    <w:rsid w:val="00DB3AC1"/>
    <w:rsid w:val="00DD0471"/>
    <w:rsid w:val="00DD0EB6"/>
    <w:rsid w:val="00DD3ED9"/>
    <w:rsid w:val="00DE342A"/>
    <w:rsid w:val="00DF7B4C"/>
    <w:rsid w:val="00E1637E"/>
    <w:rsid w:val="00E171A1"/>
    <w:rsid w:val="00E22CE1"/>
    <w:rsid w:val="00E40E9F"/>
    <w:rsid w:val="00E50C94"/>
    <w:rsid w:val="00E5100F"/>
    <w:rsid w:val="00E5174F"/>
    <w:rsid w:val="00E53044"/>
    <w:rsid w:val="00E54FC1"/>
    <w:rsid w:val="00E62716"/>
    <w:rsid w:val="00E75FF5"/>
    <w:rsid w:val="00E77501"/>
    <w:rsid w:val="00E77942"/>
    <w:rsid w:val="00E80352"/>
    <w:rsid w:val="00E84520"/>
    <w:rsid w:val="00E85EFC"/>
    <w:rsid w:val="00E92903"/>
    <w:rsid w:val="00E93082"/>
    <w:rsid w:val="00E9323F"/>
    <w:rsid w:val="00E9670E"/>
    <w:rsid w:val="00EA63B3"/>
    <w:rsid w:val="00EA6A14"/>
    <w:rsid w:val="00EA719B"/>
    <w:rsid w:val="00EB0952"/>
    <w:rsid w:val="00EB4FD4"/>
    <w:rsid w:val="00EC3C63"/>
    <w:rsid w:val="00EC6BD4"/>
    <w:rsid w:val="00EF779B"/>
    <w:rsid w:val="00F00264"/>
    <w:rsid w:val="00F00C24"/>
    <w:rsid w:val="00F032AA"/>
    <w:rsid w:val="00F11F88"/>
    <w:rsid w:val="00F14C93"/>
    <w:rsid w:val="00F23E1E"/>
    <w:rsid w:val="00F26547"/>
    <w:rsid w:val="00F3037F"/>
    <w:rsid w:val="00F31423"/>
    <w:rsid w:val="00F35083"/>
    <w:rsid w:val="00F45337"/>
    <w:rsid w:val="00F465C1"/>
    <w:rsid w:val="00F506FA"/>
    <w:rsid w:val="00F53009"/>
    <w:rsid w:val="00F531B9"/>
    <w:rsid w:val="00F72C6D"/>
    <w:rsid w:val="00F83511"/>
    <w:rsid w:val="00F86543"/>
    <w:rsid w:val="00F866F6"/>
    <w:rsid w:val="00F90DFC"/>
    <w:rsid w:val="00FA0F38"/>
    <w:rsid w:val="00FA68F8"/>
    <w:rsid w:val="00FA6A43"/>
    <w:rsid w:val="00FB0DC7"/>
    <w:rsid w:val="00FB4D9F"/>
    <w:rsid w:val="00FC4171"/>
    <w:rsid w:val="00FC59A3"/>
    <w:rsid w:val="00FC5A4F"/>
    <w:rsid w:val="00FD5435"/>
    <w:rsid w:val="00FD7BC2"/>
    <w:rsid w:val="00FE3B33"/>
    <w:rsid w:val="00FE3ED0"/>
    <w:rsid w:val="00FE428A"/>
    <w:rsid w:val="00FE51A6"/>
    <w:rsid w:val="00FE7E82"/>
    <w:rsid w:val="00FF0A86"/>
    <w:rsid w:val="00FF14C3"/>
    <w:rsid w:val="00FF1AD2"/>
    <w:rsid w:val="00FF238C"/>
    <w:rsid w:val="00FF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uppressAutoHyphens/>
      <w:overflowPunct w:val="false"/>
      <w:autoSpaceDE w:val="false"/>
      <w:textAlignment w:val="baseline"/>
    </w:pPr>
    <w:rPr>
      <w:lang w:eastAsia="ar-SA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Absatz-Standardschriftart" w:customStyle="true">
    <w:name w:val="Absatz-Standardschriftart"/>
  </w:style>
  <w:style w:type="character" w:styleId="WW-Absatz-Standardschriftart" w:customStyle="true">
    <w:name w:val="WW-Absatz-Standardschriftart"/>
  </w:style>
  <w:style w:type="character" w:styleId="WW-Absatz-Standardschriftart1" w:customStyle="true">
    <w:name w:val="WW-Absatz-Standardschriftart1"/>
  </w:style>
  <w:style w:type="character" w:styleId="Zadanifontodlomka2" w:customStyle="true">
    <w:name w:val="Zadani font odlomka2"/>
  </w:style>
  <w:style w:type="character" w:styleId="Zadanifontodlomka1" w:customStyle="true">
    <w:name w:val="Zadani font odlomka1"/>
  </w:style>
  <w:style w:type="character" w:styleId="WW-Absatz-Standardschriftart11" w:customStyle="true">
    <w:name w:val="WW-Absatz-Standardschriftart11"/>
  </w:style>
  <w:style w:type="character" w:styleId="WW-Absatz-Standardschriftart111" w:customStyle="true">
    <w:name w:val="WW-Absatz-Standardschriftart111"/>
  </w:style>
  <w:style w:type="character" w:styleId="DefaultParagraphFont1" w:customStyle="true">
    <w:name w:val="Default Paragraph Font1"/>
  </w:style>
  <w:style w:type="character" w:styleId="Brojstranice">
    <w:name w:val="page number"/>
    <w:basedOn w:val="DefaultParagraphFont1"/>
    <w:semiHidden/>
  </w:style>
  <w:style w:type="character" w:styleId="ZaglavljeChar" w:customStyle="true">
    <w:name w:val="Zaglavlje Char"/>
    <w:uiPriority w:val="99"/>
  </w:style>
  <w:style w:type="paragraph" w:styleId="Naslov30" w:customStyle="true">
    <w:name w:val="Naslov3"/>
    <w:basedOn w:val="Normal"/>
    <w:next w:val="Tijeloteksta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Tijeloteksta">
    <w:name w:val="Body Text"/>
    <w:basedOn w:val="Normal"/>
    <w:semiHidden/>
    <w:pPr>
      <w:jc w:val="both"/>
    </w:pPr>
    <w:rPr>
      <w:sz w:val="24"/>
    </w:rPr>
  </w:style>
  <w:style w:type="paragraph" w:styleId="Popis">
    <w:name w:val="List"/>
    <w:basedOn w:val="Tijeloteksta"/>
    <w:semiHidden/>
    <w:rPr>
      <w:rFonts w:cs="Tahoma"/>
    </w:rPr>
  </w:style>
  <w:style w:type="paragraph" w:styleId="Opis" w:customStyle="true">
    <w:name w:val="Opis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 w:customStyle="true">
    <w:name w:val="Indeks"/>
    <w:basedOn w:val="Normal"/>
    <w:pPr>
      <w:suppressLineNumbers/>
    </w:pPr>
    <w:rPr>
      <w:rFonts w:cs="Tahoma"/>
    </w:rPr>
  </w:style>
  <w:style w:type="paragraph" w:styleId="Naslov2" w:customStyle="true">
    <w:name w:val="Naslov2"/>
    <w:basedOn w:val="Normal"/>
    <w:next w:val="Tijeloteksta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Naslov1" w:customStyle="true">
    <w:name w:val="Naslov1"/>
    <w:basedOn w:val="Normal"/>
    <w:next w:val="Tijeloteksta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Zaglavlje">
    <w:name w:val="header"/>
    <w:basedOn w:val="Normal"/>
    <w:uiPriority w:val="99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21" w:customStyle="true">
    <w:name w:val="Body Text 21"/>
    <w:basedOn w:val="Normal"/>
    <w:pPr>
      <w:ind w:firstLine="720"/>
      <w:jc w:val="both"/>
    </w:pPr>
    <w:rPr>
      <w:sz w:val="24"/>
    </w:rPr>
  </w:style>
  <w:style w:type="paragraph" w:styleId="Sadrajokvira" w:customStyle="true">
    <w:name w:val="Sadržaj okvira"/>
    <w:basedOn w:val="Tijeloteksta"/>
  </w:style>
  <w:style w:type="paragraph" w:styleId="Sadrajitablice" w:customStyle="true">
    <w:name w:val="Sadržaji tablice"/>
    <w:basedOn w:val="Normal"/>
    <w:pPr>
      <w:suppressLineNumbers/>
    </w:pPr>
  </w:style>
  <w:style w:type="paragraph" w:styleId="Naslovtablice" w:customStyle="true">
    <w:name w:val="Naslov tablice"/>
    <w:basedOn w:val="Sadrajitablice"/>
    <w:pPr>
      <w:jc w:val="center"/>
    </w:pPr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E930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30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308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308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308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Zadanifontodlomka2" w:type="character">
    <w:name w:val="Zadani font odlomka2"/>
  </w:style>
  <w:style w:customStyle="1" w:styleId="Zadanifontodlomka1" w:type="character">
    <w:name w:val="Zadani font odlomka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DefaultParagraphFont1" w:type="character">
    <w:name w:val="Default Paragraph Font1"/>
  </w:style>
  <w:style w:styleId="Brojstranice" w:type="character">
    <w:name w:val="page number"/>
    <w:basedOn w:val="DefaultParagraphFont1"/>
    <w:semiHidden/>
  </w:style>
  <w:style w:customStyle="1" w:styleId="ZaglavljeChar" w:type="character">
    <w:name w:val="Zaglavlje Char"/>
    <w:uiPriority w:val="99"/>
  </w:style>
  <w:style w:customStyle="1" w:styleId="Naslov30" w:type="paragraph">
    <w:name w:val="Naslov3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customStyle="1" w:styleId="Naslov2" w:type="paragraph">
    <w:name w:val="Naslov2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customStyle="1" w:styleId="BodyText21" w:type="paragraph">
    <w:name w:val="Body Text 21"/>
    <w:basedOn w:val="Normal"/>
    <w:pPr>
      <w:ind w:firstLine="720"/>
      <w:jc w:val="both"/>
    </w:pPr>
    <w:rPr>
      <w:sz w:val="24"/>
    </w:rPr>
  </w:style>
  <w:style w:customStyle="1" w:styleId="Sadrajokvira" w:type="paragraph">
    <w:name w:val="Sadržaj okvira"/>
    <w:basedOn w:val="Tijeloteksta"/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veljače 2026.</izvorni_sadrzaj>
    <derivirana_varijabla naziv="DomainObject.DatumDonosenjaOdluke_1">3.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Ppž-293/2026-2</izvorni_sadrzaj>
    <derivirana_varijabla naziv="DomainObject.Oznaka_1">Ppž-293/2026-2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Bosnić-Kovačić</izvorni_sadrzaj>
    <derivirana_varijabla naziv="DomainObject.DonositeljOdluke.Prezime_1">Bosnić-Kovačić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2026.</izvorni_sadrzaj>
    <derivirana_varijabla naziv="DomainObject.Predmet.DatumOsnivanja_1">13.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svibnja 2026.</izvorni_sadrzaj>
    <derivirana_varijabla naziv="DomainObject.Predmet.DatumRjesavanja_1">21.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Ivana Bosnić-Kovačić</izvorni_sadrzaj>
    <derivirana_varijabla naziv="DomainObject.Predmet.Izvjestitelj_1">Ivana Bosnić-Kovačić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5. svibnja 1980.</izvorni_sadrzaj>
    <derivirana_varijabla naziv="DomainObject.Predmet.OkrivljenikFizickaOsoba.DatumRodjenja_1">5. svibnja 1980.</derivirana_varijabla>
  </DomainObject.Predmet.OkrivljenikFizickaOsoba.DatumRodjenja>
  <DomainObject.Predmet.OkrivljenikFizickaOsoba.DatumRodjenjaFormated>
    <izvorni_sadrzaj>5.5.1980.</izvorni_sadrzaj>
    <derivirana_varijabla naziv="DomainObject.Predmet.OkrivljenikFizickaOsoba.DatumRodjenjaFormated_1">5.5.1980.</derivirana_varijabla>
  </DomainObject.Predmet.OkrivljenikFizickaOsoba.DatumRodjenjaFormated>
  <DomainObject.Predmet.OkrivljenikFizickaOsoba.Ime>
    <izvorni_sadrzaj>Toni</izvorni_sadrzaj>
    <derivirana_varijabla naziv="DomainObject.Predmet.OkrivljenikFizickaOsoba.Ime_1">Toni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Split (Split)</izvorni_sadrzaj>
    <derivirana_varijabla naziv="DomainObject.Predmet.OkrivljenikFizickaOsoba.MjestoRodjenja_1">Split (Split)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Toni Šegon</izvorni_sadrzaj>
    <derivirana_varijabla naziv="DomainObject.Predmet.OkrivljenikFizickaOsoba.Naziv_1">Toni Šegon</derivirana_varijabla>
  </DomainObject.Predmet.OkrivljenikFizickaOsoba.Naziv>
  <DomainObject.Predmet.OkrivljenikFizickaOsoba.Prezime>
    <izvorni_sadrzaj>Šegon</izvorni_sadrzaj>
    <derivirana_varijabla naziv="DomainObject.Predmet.OkrivljenikFizickaOsoba.Prezime_1">Šegon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17189361560</izvorni_sadrzaj>
    <derivirana_varijabla naziv="DomainObject.Predmet.OkrivljenikFizickaOsoba.Oib_1">17189361560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Ppž-293/2026</izvorni_sadrzaj>
    <derivirana_varijabla naziv="DomainObject.Predmet.OznakaBroj_1">Ppž-293/2026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05272211098</izvorni_sadrzaj>
    <derivirana_varijabla naziv="DomainObject.Predmet.PredmetRijesio.Oib_1">05272211098</derivirana_varijabla>
  </DomainObject.Predmet.PredmetRijesio.Oib>
  <DomainObject.Predmet.PredmetRijesio.Prezime>
    <izvorni_sadrzaj>Bosnić-Kovačić</izvorni_sadrzaj>
    <derivirana_varijabla naziv="DomainObject.Predmet.PredmetRijesio.Prezime_1">Bosnić-Kovačić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FACTA VERA d.o.o. putnička agencija za turizam i trgovinu; Toni Šegon</izvorni_sadrzaj>
    <derivirana_varijabla naziv="DomainObject.Predmet.ProtustrankaFormated_1">  FACTA VERA d.o.o. putnička agencija za turizam i trgovinu; Toni Šegon</derivirana_varijabla>
  </DomainObject.Predmet.ProtustrankaFormated>
  <DomainObject.Predmet.ProtustrankaFormatedOIB>
    <izvorni_sadrzaj>  FACTA VERA d.o.o. putnička agencija za turizam i trgovinu, OIB 12722099417; Toni Šegon, OIB 17189361560</izvorni_sadrzaj>
    <derivirana_varijabla naziv="DomainObject.Predmet.ProtustrankaFormatedOIB_1">  FACTA VERA d.o.o. putnička agencija za turizam i trgovinu, OIB 12722099417; Toni Šegon, OIB 17189361560</derivirana_varijabla>
  </DomainObject.Predmet.ProtustrankaFormatedOIB>
  <DomainObject.Predmet.ProtustrankaFormatedWithAdress>
    <izvorni_sadrzaj> FACTA VERA d.o.o. putnička agencija za turizam i trgovinu, Ulica 58 br. 15, 20270 Vela Luka; Toni Šegon, Vinogradi 78, 10000 Zagreb</izvorni_sadrzaj>
    <derivirana_varijabla naziv="DomainObject.Predmet.ProtustrankaFormatedWithAdress_1"> FACTA VERA d.o.o. putnička agencija za turizam i trgovinu, Ulica 58 br. 15, 20270 Vela Luka; Toni Šegon, Vinogradi 78, 10000 Zagreb</derivirana_varijabla>
  </DomainObject.Predmet.ProtustrankaFormatedWithAdress>
  <DomainObject.Predmet.ProtustrankaFormatedWithAdressOIB>
    <izvorni_sadrzaj> FACTA VERA d.o.o. putnička agencija za turizam i trgovinu, OIB 12722099417, Ulica 58 br. 15, 20270 Vela Luka; Toni Šegon, OIB 17189361560, Vinogradi 78, 10000 Zagreb</izvorni_sadrzaj>
    <derivirana_varijabla naziv="DomainObject.Predmet.ProtustrankaFormatedWithAdressOIB_1"> FACTA VERA d.o.o. putnička agencija za turizam i trgovinu, OIB 12722099417, Ulica 58 br. 15, 20270 Vela Luka; Toni Šegon, OIB 17189361560, Vinogradi 78, 10000 Zagreb</derivirana_varijabla>
  </DomainObject.Predmet.ProtustrankaFormatedWithAdressOIB>
  <DomainObject.Predmet.ProtustrankaWithAdress>
    <izvorni_sadrzaj>FACTA VERA d.o.o. putnička agencija za turizam i trgovinu Ulica 58 br. 15, 20270 Vela Luka, Toni Šegon Vinogradi 78, 10000 Zagreb</izvorni_sadrzaj>
    <derivirana_varijabla naziv="DomainObject.Predmet.ProtustrankaWithAdress_1">FACTA VERA d.o.o. putnička agencija za turizam i trgovinu Ulica 58 br. 15, 20270 Vela Luka, Toni Šegon Vinogradi 78, 10000 Zagreb</derivirana_varijabla>
  </DomainObject.Predmet.ProtustrankaWithAdress>
  <DomainObject.Predmet.ProtustrankaWithAdressOIB>
    <izvorni_sadrzaj>FACTA VERA d.o.o. putnička agencija za turizam i trgovinu, OIB 12722099417, Ulica 58 br. 15, 20270 Vela Luka, Toni Šegon, OIB 17189361560, Vinogradi 78, 10000 Zagreb</izvorni_sadrzaj>
    <derivirana_varijabla naziv="DomainObject.Predmet.ProtustrankaWithAdressOIB_1">FACTA VERA d.o.o. putnička agencija za turizam i trgovinu, OIB 12722099417, Ulica 58 br. 15, 20270 Vela Luka, Toni Šegon, OIB 17189361560, Vinogradi 78, 10000 Zagreb</derivirana_varijabla>
  </DomainObject.Predmet.ProtustrankaWithAdressOIB>
  <DomainObject.Predmet.ProtustrankaNazivFormated>
    <izvorni_sadrzaj>FACTA VERA d.o.o. putnička agencija za turizam i trgovinu,Toni Šegon</izvorni_sadrzaj>
    <derivirana_varijabla naziv="DomainObject.Predmet.ProtustrankaNazivFormated_1">FACTA VERA d.o.o. putnička agencija za turizam i trgovinu,Toni Šegon</derivirana_varijabla>
  </DomainObject.Predmet.ProtustrankaNazivFormated>
  <DomainObject.Predmet.ProtustrankaNazivFormatedOIB>
    <izvorni_sadrzaj>FACTA VERA d.o.o. putnička agencija za turizam i trgovinu, OIB 12722099417,Toni Šegon, OIB 17189361560</izvorni_sadrzaj>
    <derivirana_varijabla naziv="DomainObject.Predmet.ProtustrankaNazivFormatedOIB_1">FACTA VERA d.o.o. putnička agencija za turizam i trgovinu, OIB 12722099417,Toni Šegon, OIB 17189361560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Vijeće za gospodarstvo</izvorni_sadrzaj>
    <derivirana_varijabla naziv="DomainObject.Predmet.Referada.Naziv_1">1. Vijeće za gospodarstvo</derivirana_varijabla>
  </DomainObject.Predmet.Referada.Naziv>
  <DomainObject.Predmet.Referada.Oznaka>
    <izvorni_sadrzaj>VPSOGVIJ1</izvorni_sadrzaj>
    <derivirana_varijabla naziv="DomainObject.Predmet.Referada.Oznaka_1">VPSOGVIJ1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prekršajni sud Republike Hrvatske</izvorni_sadrzaj>
    <derivirana_varijabla naziv="DomainObject.Predmet.Referada.Sud.Naziv_1">Visoki prekršajni sud Republike Hrvatske</derivirana_varijabla>
  </DomainObject.Predmet.Referada.Sud.Naziv>
  <DomainObject.Predmet.Referada.Sudac>
    <izvorni_sadrzaj>Ivana Bosnić-Kovačić</izvorni_sadrzaj>
    <derivirana_varijabla naziv="DomainObject.Predmet.Referada.Sudac_1">Ivana Bosnić-Kovačić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Dubrovniku</izvorni_sadrzaj>
    <derivirana_varijabla naziv="DomainObject.Predmet.StrankaFormated_1">  Općinski sud u Dubrovniku</derivirana_varijabla>
  </DomainObject.Predmet.StrankaFormated>
  <DomainObject.Predmet.StrankaFormatedOIB>
    <izvorni_sadrzaj>  Općinski sud u Dubrovniku, OIB 48074464528</izvorni_sadrzaj>
    <derivirana_varijabla naziv="DomainObject.Predmet.StrankaFormatedOIB_1">  Općinski sud u Dubrovniku, OIB 48074464528</derivirana_varijabla>
  </DomainObject.Predmet.StrankaFormatedOIB>
  <DomainObject.Predmet.StrankaFormatedWithAdress>
    <izvorni_sadrzaj> Općinski sud u Dubrovniku, Dr. Ante Starčevića 23, 20000 Dubrovnik</izvorni_sadrzaj>
    <derivirana_varijabla naziv="DomainObject.Predmet.StrankaFormatedWithAdress_1"> Općinski sud u Dubrovniku, Dr. Ante Starčevića 23, 20000 Dubrovnik</derivirana_varijabla>
  </DomainObject.Predmet.StrankaFormatedWithAdress>
  <DomainObject.Predmet.StrankaFormatedWithAdressOIB>
    <izvorni_sadrzaj> Općinski sud u Dubrovniku, OIB 48074464528, Dr. Ante Starčevića 23, 20000 Dubrovnik</izvorni_sadrzaj>
    <derivirana_varijabla naziv="DomainObject.Predmet.StrankaFormatedWithAdressOIB_1"> Općinski sud u Dubrovniku, OIB 48074464528, Dr. Ante Starčevića 23, 20000 Dubrovnik</derivirana_varijabla>
  </DomainObject.Predmet.StrankaFormatedWithAdressOIB>
  <DomainObject.Predmet.StrankaWithAdress>
    <izvorni_sadrzaj>Općinski sud u Dubrovniku Dr. Ante Starčevića 23,20000 Dubrovnik</izvorni_sadrzaj>
    <derivirana_varijabla naziv="DomainObject.Predmet.StrankaWithAdress_1">Općinski sud u Dubrovniku Dr. Ante Starčevića 23,20000 Dubrovnik</derivirana_varijabla>
  </DomainObject.Predmet.StrankaWithAdress>
  <DomainObject.Predmet.StrankaWithAdressOIB>
    <izvorni_sadrzaj>Općinski sud u Dubrovniku, OIB 48074464528, Dr. Ante Starčevića 23,20000 Dubrovnik</izvorni_sadrzaj>
    <derivirana_varijabla naziv="DomainObject.Predmet.StrankaWithAdressOIB_1">Općinski sud u Dubrovniku, OIB 48074464528, Dr. Ante Starčevića 23,20000 Dubrovnik</derivirana_varijabla>
  </DomainObject.Predmet.StrankaWithAdressOIB>
  <DomainObject.Predmet.StrankaNazivFormated>
    <izvorni_sadrzaj>Općinski sud u Dubrovniku</izvorni_sadrzaj>
    <derivirana_varijabla naziv="DomainObject.Predmet.StrankaNazivFormated_1">Općinski sud u Dubrovniku</derivirana_varijabla>
  </DomainObject.Predmet.StrankaNazivFormated>
  <DomainObject.Predmet.StrankaNazivFormatedOIB>
    <izvorni_sadrzaj>Općinski sud u Dubrovniku, OIB 48074464528</izvorni_sadrzaj>
    <derivirana_varijabla naziv="DomainObject.Predmet.StrankaNazivFormatedOIB_1">Općinski sud u Dubrovniku, OIB 48074464528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</izvorni_sadrzaj>
    <derivirana_varijabla naziv="DomainObject.Predmet.Sud.Adresa.PostBroj_1">1000</derivirana_varijabla>
  </DomainObject.Predmet.Sud.Adresa.PostBroj>
  <DomainObject.Predmet.Sud.Adresa.UlicaIKBR>
    <izvorni_sadrzaj>Augusta Šenoe 30</izvorni_sadrzaj>
    <derivirana_varijabla naziv="DomainObject.Predmet.Sud.Adresa.UlicaIKBR_1">Augusta Šenoe 30</derivirana_varijabla>
  </DomainObject.Predmet.Sud.Adresa.UlicaIKBR>
  <DomainObject.Predmet.Sud.Naziv>
    <izvorni_sadrzaj>Visoki prekršajni sud Republike Hrvatske</izvorni_sadrzaj>
    <derivirana_varijabla naziv="DomainObject.Predmet.Sud.Naziv_1">Visoki prekršajni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Odjeljak prijepisa</izvorni_sadrzaj>
    <derivirana_varijabla naziv="DomainObject.Predmet.TrenutnaLokacijaSpisa.Naziv_1">Odjeljak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prekršajni sud Republike Hrvatske</izvorni_sadrzaj>
    <derivirana_varijabla naziv="DomainObject.Predmet.TrenutnaLokacijaSpisa.Sud.Naziv_1">Visoki prekršajni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VPSP</izvorni_sadrzaj>
    <derivirana_varijabla naziv="DomainObject.Predmet.UstrojstvenaJedinicaVodi.Oznaka_1">VPSP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prekršajni sud Republike Hrvatske</izvorni_sadrzaj>
    <derivirana_varijabla naziv="DomainObject.Predmet.UstrojstvenaJedinicaVodi.Sud.Naziv_1">Visoki prekršajni sud Republike Hrvatske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Nataša Borovnjak</izvorni_sadrzaj>
    <derivirana_varijabla naziv="DomainObject.Predmet.Zapisnicar_1">Nataša Borovnjak</derivirana_varijabla>
  </DomainObject.Predmet.Zapisnicar>
  <DomainObject.Predmet.StrankaListFormated>
    <izvorni_sadrzaj>
      <item>Općinski sud u Dubrovniku</item>
    </izvorni_sadrzaj>
    <derivirana_varijabla naziv="DomainObject.Predmet.StrankaListFormated_1">
      <item>Općinski sud u Dubrovniku</item>
    </derivirana_varijabla>
  </DomainObject.Predmet.StrankaListFormated>
  <DomainObject.Predmet.StrankaListFormatedOIB>
    <izvorni_sadrzaj>
      <item>Općinski sud u Dubrovniku, OIB 48074464528</item>
    </izvorni_sadrzaj>
    <derivirana_varijabla naziv="DomainObject.Predmet.StrankaListFormatedOIB_1">
      <item>Općinski sud u Dubrovniku, OIB 48074464528</item>
    </derivirana_varijabla>
  </DomainObject.Predmet.StrankaListFormatedOIB>
  <DomainObject.Predmet.StrankaListFormatedWithAdress>
    <izvorni_sadrzaj>
      <item>Općinski sud u Dubrovniku, Dr. Ante Starčevića 23, 20000 Dubrovnik</item>
    </izvorni_sadrzaj>
    <derivirana_varijabla naziv="DomainObject.Predmet.StrankaListFormatedWithAdress_1">
      <item>Općinski sud u Dubrovniku, Dr. Ante Starčevića 23, 20000 Dubrovnik</item>
    </derivirana_varijabla>
  </DomainObject.Predmet.StrankaListFormatedWithAdress>
  <DomainObject.Predmet.StrankaListFormatedWithAdressOIB>
    <izvorni_sadrzaj>
      <item>Općinski sud u Dubrovniku, OIB 48074464528, Dr. Ante Starčevića 23, 20000 Dubrovnik</item>
    </izvorni_sadrzaj>
    <derivirana_varijabla naziv="DomainObject.Predmet.StrankaListFormatedWithAdressOIB_1">
      <item>Općinski sud u Dubrovniku, OIB 48074464528, Dr. Ante Starčevića 23, 20000 Dubrovnik</item>
    </derivirana_varijabla>
  </DomainObject.Predmet.StrankaListFormatedWithAdressOIB>
  <DomainObject.Predmet.StrankaListNazivFormated>
    <izvorni_sadrzaj>
      <item>Općinski sud u Dubrovniku</item>
    </izvorni_sadrzaj>
    <derivirana_varijabla naziv="DomainObject.Predmet.StrankaListNazivFormated_1">
      <item>Općinski sud u Dubrovniku</item>
    </derivirana_varijabla>
  </DomainObject.Predmet.StrankaListNazivFormated>
  <DomainObject.Predmet.StrankaListNazivFormatedOIB>
    <izvorni_sadrzaj>
      <item>Općinski sud u Dubrovniku, OIB 48074464528</item>
    </izvorni_sadrzaj>
    <derivirana_varijabla naziv="DomainObject.Predmet.StrankaListNazivFormatedOIB_1">
      <item>Općinski sud u Dubrovniku, OIB 48074464528</item>
    </derivirana_varijabla>
  </DomainObject.Predmet.StrankaListNazivFormatedOIB>
  <DomainObject.Predmet.ProtuStrankaListFormated>
    <izvorni_sadrzaj>
      <item>FACTA VERA d.o.o. putnička agencija za turizam i trgovinu</item>
      <item>Toni Šegon</item>
    </izvorni_sadrzaj>
    <derivirana_varijabla naziv="DomainObject.Predmet.ProtuStrankaListFormated_1">
      <item>FACTA VERA d.o.o. putnička agencija za turizam i trgovinu</item>
      <item>Toni Šegon</item>
    </derivirana_varijabla>
  </DomainObject.Predmet.ProtuStrankaListFormated>
  <DomainObject.Predmet.ProtuStrankaListFormatedOIB>
    <izvorni_sadrzaj>
      <item>FACTA VERA d.o.o. putnička agencija za turizam i trgovinu, OIB 12722099417</item>
      <item>Toni Šegon, OIB 17189361560</item>
    </izvorni_sadrzaj>
    <derivirana_varijabla naziv="DomainObject.Predmet.ProtuStrankaListFormatedOIB_1">
      <item>FACTA VERA d.o.o. putnička agencija za turizam i trgovinu, OIB 12722099417</item>
      <item>Toni Šegon, OIB 17189361560</item>
    </derivirana_varijabla>
  </DomainObject.Predmet.ProtuStrankaListFormatedOIB>
  <DomainObject.Predmet.ProtuStrankaListFormatedWithAdress>
    <izvorni_sadrzaj>
      <item>FACTA VERA d.o.o. putnička agencija za turizam i trgovinu, Ulica 58 br. 15, 20270 Vela Luka</item>
      <item>Toni Šegon, Vinogradi 78, 10000 Zagreb</item>
    </izvorni_sadrzaj>
    <derivirana_varijabla naziv="DomainObject.Predmet.ProtuStrankaListFormatedWithAdress_1">
      <item>FACTA VERA d.o.o. putnička agencija za turizam i trgovinu, Ulica 58 br. 15, 20270 Vela Luka</item>
      <item>Toni Šegon, Vinogradi 78, 10000 Zagreb</item>
    </derivirana_varijabla>
  </DomainObject.Predmet.ProtuStrankaListFormatedWithAdress>
  <DomainObject.Predmet.ProtuStrankaListFormatedWithAdressOIB>
    <izvorni_sadrzaj>
      <item>FACTA VERA d.o.o. putnička agencija za turizam i trgovinu, OIB 12722099417, Ulica 58 br. 15, 20270 Vela Luka</item>
      <item>Toni Šegon, OIB 17189361560, Vinogradi 78, 10000 Zagreb</item>
    </izvorni_sadrzaj>
    <derivirana_varijabla naziv="DomainObject.Predmet.ProtuStrankaListFormatedWithAdressOIB_1">
      <item>FACTA VERA d.o.o. putnička agencija za turizam i trgovinu, OIB 12722099417, Ulica 58 br. 15, 20270 Vela Luka</item>
      <item>Toni Šegon, OIB 17189361560, Vinogradi 78, 10000 Zagreb</item>
    </derivirana_varijabla>
  </DomainObject.Predmet.ProtuStrankaListFormatedWithAdressOIB>
  <DomainObject.Predmet.ProtuStrankaListNazivFormated>
    <izvorni_sadrzaj>
      <item>FACTA VERA d.o.o. putnička agencija za turizam i trgovinu</item>
      <item>Toni Šegon</item>
    </izvorni_sadrzaj>
    <derivirana_varijabla naziv="DomainObject.Predmet.ProtuStrankaListNazivFormated_1">
      <item>FACTA VERA d.o.o. putnička agencija za turizam i trgovinu</item>
      <item>Toni Šegon</item>
    </derivirana_varijabla>
  </DomainObject.Predmet.ProtuStrankaListNazivFormated>
  <DomainObject.Predmet.ProtuStrankaListNazivFormatedOIB>
    <izvorni_sadrzaj>
      <item>FACTA VERA d.o.o. putnička agencija za turizam i trgovinu, OIB 12722099417</item>
      <item>Toni Šegon, OIB 17189361560</item>
    </izvorni_sadrzaj>
    <derivirana_varijabla naziv="DomainObject.Predmet.ProtuStrankaListNazivFormatedOIB_1">
      <item>FACTA VERA d.o.o. putnička agencija za turizam i trgovinu, OIB 12722099417</item>
      <item>Toni Šegon, OIB 17189361560</item>
    </derivirana_varijabla>
  </DomainObject.Predmet.ProtuStrankaListNazivFormatedOIB>
  <DomainObject.Predmet.OstaliListFormated>
    <izvorni_sadrzaj>
      <item>FACTA VERA d.o.o. putnička agencija za turizam i trgovinu</item>
      <item>Toni Šegon</item>
    </izvorni_sadrzaj>
    <derivirana_varijabla naziv="DomainObject.Predmet.OstaliListFormated_1">
      <item>FACTA VERA d.o.o. putnička agencija za turizam i trgovinu</item>
      <item>Toni Šegon</item>
    </derivirana_varijabla>
  </DomainObject.Predmet.OstaliListFormated>
  <DomainObject.Predmet.OstaliListFormatedOIB>
    <izvorni_sadrzaj>
      <item>FACTA VERA d.o.o. putnička agencija za turizam i trgovinu, OIB 12722099417</item>
      <item>Toni Šegon, OIB 17189361560</item>
    </izvorni_sadrzaj>
    <derivirana_varijabla naziv="DomainObject.Predmet.OstaliListFormatedOIB_1">
      <item>FACTA VERA d.o.o. putnička agencija za turizam i trgovinu, OIB 12722099417</item>
      <item>Toni Šegon, OIB 17189361560</item>
    </derivirana_varijabla>
  </DomainObject.Predmet.OstaliListFormatedOIB>
  <DomainObject.Predmet.OstaliListFormatedWithAdress>
    <izvorni_sadrzaj>
      <item>FACTA VERA d.o.o. putnička agencija za turizam i trgovinu, Ulica 58 br. 15, 20270 Vela Luka</item>
      <item>Toni Šegon, Vinogradi 78, 10000 Zagreb</item>
    </izvorni_sadrzaj>
    <derivirana_varijabla naziv="DomainObject.Predmet.OstaliListFormatedWithAdress_1">
      <item>FACTA VERA d.o.o. putnička agencija za turizam i trgovinu, Ulica 58 br. 15, 20270 Vela Luka</item>
      <item>Toni Šegon, Vinogradi 78, 10000 Zagreb</item>
    </derivirana_varijabla>
  </DomainObject.Predmet.OstaliListFormatedWithAdress>
  <DomainObject.Predmet.OstaliListFormatedWithAdressOIB>
    <izvorni_sadrzaj>
      <item>FACTA VERA d.o.o. putnička agencija za turizam i trgovinu, OIB 12722099417, Ulica 58 br. 15, 20270 Vela Luka</item>
      <item>Toni Šegon, OIB 17189361560, Vinogradi 78, 10000 Zagreb</item>
    </izvorni_sadrzaj>
    <derivirana_varijabla naziv="DomainObject.Predmet.OstaliListFormatedWithAdressOIB_1">
      <item>FACTA VERA d.o.o. putnička agencija za turizam i trgovinu, OIB 12722099417, Ulica 58 br. 15, 20270 Vela Luka</item>
      <item>Toni Šegon, OIB 17189361560, Vinogradi 78, 10000 Zagreb</item>
    </derivirana_varijabla>
  </DomainObject.Predmet.OstaliListFormatedWithAdressOIB>
  <DomainObject.Predmet.OstaliListNazivFormated>
    <izvorni_sadrzaj>
      <item>FACTA VERA d.o.o. putnička agencija za turizam i trgovinu</item>
      <item>Toni Šegon</item>
    </izvorni_sadrzaj>
    <derivirana_varijabla naziv="DomainObject.Predmet.OstaliListNazivFormated_1">
      <item>FACTA VERA d.o.o. putnička agencija za turizam i trgovinu</item>
      <item>Toni Šegon</item>
    </derivirana_varijabla>
  </DomainObject.Predmet.OstaliListNazivFormated>
  <DomainObject.Predmet.OstaliListNazivFormatedOIB>
    <izvorni_sadrzaj>
      <item>FACTA VERA d.o.o. putnička agencija za turizam i trgovinu, OIB 12722099417</item>
      <item>Toni Šegon, OIB 17189361560</item>
    </izvorni_sadrzaj>
    <derivirana_varijabla naziv="DomainObject.Predmet.OstaliListNazivFormatedOIB_1">
      <item>FACTA VERA d.o.o. putnička agencija za turizam i trgovinu, OIB 12722099417</item>
      <item>Toni Šegon, OIB 17189361560</item>
    </derivirana_varijabla>
  </DomainObject.Predmet.OstaliListNazivFormatedOIB>
  <DomainObject.Predmet.ClanoviVijeca>
    <izvorni_sadrzaj>Mladen Genc, Ivana Vorel Mikša</izvorni_sadrzaj>
    <derivirana_varijabla naziv="DomainObject.Predmet.ClanoviVijeca_1">Mladen Genc, Ivana Vorel Mikša</derivirana_varijabla>
  </DomainObject.Predmet.ClanoviVijeca>
  <DomainObject.Predmet.PredsjednikVijeca>
    <izvorni_sadrzaj>Katica Lučić</izvorni_sadrzaj>
    <derivirana_varijabla naziv="DomainObject.Predmet.PredsjednikVijeca_1">Katica Lučić</derivirana_varijabla>
  </DomainObject.Predmet.PredsjednikVijeca>
  <DomainObject.Predmet.ClanakZakona>
    <izvorni_sadrzaj>109, 109</izvorni_sadrzaj>
    <derivirana_varijabla naziv="DomainObject.Predmet.ClanakZakona_1">109, 109</derivirana_varijabla>
  </DomainObject.Predmet.ClanakZakona>
  <DomainObject.Predmet.ClanakZakonaFull>
    <izvorni_sadrzaj>članka 109. stavka 1. točke 2., članka 109. stavka 1. točke 2.</izvorni_sadrzaj>
    <derivirana_varijabla naziv="DomainObject.Predmet.ClanakZakonaFull_1">članka 109. stavka 1. točke 2., članka 109. stavka 1. točke 2.</derivirana_varijabla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2026.</izvorni_sadrzaj>
    <derivirana_varijabla naziv="DomainObject.Datum_1">25. svibnja 2026.</derivirana_varijabla>
  </DomainObject.Datum>
  <DomainObject.PoslovniBrojDokumenta>
    <izvorni_sadrzaj>Ppž-293/2026-2</izvorni_sadrzaj>
    <derivirana_varijabla naziv="DomainObject.PoslovniBrojDokumenta_1">Ppž-293/2026-2</derivirana_varijabla>
  </DomainObject.PoslovniBrojDokumenta>
  <DomainObject.Predmet.StrankaIDrugi>
    <izvorni_sadrzaj>Općinski sud u Dubrovniku</izvorni_sadrzaj>
    <derivirana_varijabla naziv="DomainObject.Predmet.StrankaIDrugi_1">Općinski sud u Dubrovniku</derivirana_varijabla>
  </DomainObject.Predmet.StrankaIDrugi>
  <DomainObject.Predmet.ProtustrankaIDrugi>
    <izvorni_sadrzaj>FACTA VERA d.o.o. putnička agencija za turizam i trgovinu i dr.</izvorni_sadrzaj>
    <derivirana_varijabla naziv="DomainObject.Predmet.ProtustrankaIDrugi_1">FACTA VERA d.o.o. putnička agencija za turizam i trgovinu i dr.</derivirana_varijabla>
  </DomainObject.Predmet.ProtustrankaIDrugi>
  <DomainObject.Predmet.StrankaIDrugiAdressOIB>
    <izvorni_sadrzaj>Općinski sud u Dubrovniku, OIB 48074464528, Dr. Ante Starčevića 23, 20000 Dubrovnik</izvorni_sadrzaj>
    <derivirana_varijabla naziv="DomainObject.Predmet.StrankaIDrugiAdressOIB_1">Općinski sud u Dubrovniku, OIB 48074464528, Dr. Ante Starčevića 23, 20000 Dubrovnik</derivirana_varijabla>
  </DomainObject.Predmet.StrankaIDrugiAdressOIB>
  <DomainObject.Predmet.ProtustrankaIDrugiAdressOIB>
    <izvorni_sadrzaj>FACTA VERA d.o.o. putnička agencija za turizam i trgovinu, OIB 12722099417, Ulica 58 br. 15, 20270 Vela Luka i dr.</izvorni_sadrzaj>
    <derivirana_varijabla naziv="DomainObject.Predmet.ProtustrankaIDrugiAdressOIB_1">FACTA VERA d.o.o. putnička agencija za turizam i trgovinu, OIB 12722099417, Ulica 58 br. 15, 20270 Vela Luka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2026.</izvorni_sadrzaj>
    <derivirana_varijabla naziv="DomainObject.Predmet.OdlukaRjesenje.DatumDonosenjaOdluke_1">3. veljače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Ppž-293/2026-2</izvorni_sadrzaj>
    <derivirana_varijabla naziv="DomainObject.Predmet.OdlukaRjesenje.Oznaka_1">Ppž-293/2026-2</derivirana_varijabla>
  </DomainObject.Predmet.OdlukaRjesenje.Oznaka>
  <DomainObject.Predmet.SudioniciListNaziv>
    <izvorni_sadrzaj>
      <item>FACTA VERA d.o.o. putnička agencija za turizam i trgovinu</item>
      <item>Toni Šegon</item>
      <item>FACTA VERA d.o.o. putnička agencija za turizam i trgovinu</item>
      <item>Toni Šegon</item>
      <item>Općinski sud u Dubrovniku</item>
    </izvorni_sadrzaj>
    <derivirana_varijabla naziv="DomainObject.Predmet.SudioniciListNaziv_1">
      <item>FACTA VERA d.o.o. putnička agencija za turizam i trgovinu</item>
      <item>Toni Šegon</item>
      <item>FACTA VERA d.o.o. putnička agencija za turizam i trgovinu</item>
      <item>Toni Šegon</item>
      <item>Općinski sud u Dubrovniku</item>
    </derivirana_varijabla>
  </DomainObject.Predmet.SudioniciListNaziv>
  <DomainObject.Predmet.SudioniciListAdressOIB>
    <izvorni_sadrzaj>
      <item>FACTA VERA d.o.o. putnička agencija za turizam i trgovinu, OIB 12722099417, Ulica 58 br. 15,20270 Vela Luka</item>
      <item>Toni Šegon, OIB 17189361560, Vinogradi 78,10000 Zagreb</item>
      <item>FACTA VERA d.o.o. putnička agencija za turizam i trgovinu, OIB 12722099417, Ulica 58 br. 15,20270 Vela Luka</item>
      <item>Toni Šegon, OIB 17189361560, Vinogradi 78,10000 Zagreb</item>
      <item>Općinski sud u Dubrovniku, OIB 48074464528, Dr. Ante Starčevića 23,20000 Dubrovnik</item>
    </izvorni_sadrzaj>
    <derivirana_varijabla naziv="DomainObject.Predmet.SudioniciListAdressOIB_1">
      <item>FACTA VERA d.o.o. putnička agencija za turizam i trgovinu, OIB 12722099417, Ulica 58 br. 15,20270 Vela Luka</item>
      <item>Toni Šegon, OIB 17189361560, Vinogradi 78,10000 Zagreb</item>
      <item>FACTA VERA d.o.o. putnička agencija za turizam i trgovinu, OIB 12722099417, Ulica 58 br. 15,20270 Vela Luka</item>
      <item>Toni Šegon, OIB 17189361560, Vinogradi 78,10000 Zagreb</item>
      <item>Općinski sud u Dubrovniku, OIB 48074464528, Dr. Ante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12722099417</item>
      <item>, OIB 17189361560</item>
      <item>, OIB 12722099417</item>
      <item>, OIB 17189361560</item>
      <item>, OIB 48074464528</item>
    </izvorni_sadrzaj>
    <derivirana_varijabla naziv="DomainObject.Predmet.SudioniciListNazivOIB_1">
      <item>, OIB 12722099417</item>
      <item>, OIB 17189361560</item>
      <item>, OIB 12722099417</item>
      <item>, OIB 17189361560</item>
      <item>, OIB 48074464528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Pp-2983/2025</izvorni_sadrzaj>
    <derivirana_varijabla naziv="DomainObject.Predmet.OznakaNizestupanjskogPredmeta_1">Pp-2983/2025</derivirana_varijabla>
  </DomainObject.Predmet.OznakaNizestupanjskogPredmeta>
  <DomainObject.Predmet.NazivNizestupanjskogSuda>
    <izvorni_sadrzaj>Općinski sud u Dubrovniku</izvorni_sadrzaj>
    <derivirana_varijabla naziv="DomainObject.Predmet.NazivNizestupanjskogSuda_1">Općinski sud u Dubrovniku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kolovoza 2025.</izvorni_sadrzaj>
    <derivirana_varijabla naziv="DomainObject.Predmet.DatumPocetkaProcesa_1">13.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mirovinskom osiguranju</item>
    </izvorni_sadrzaj>
    <derivirana_varijabla naziv="DomainObject.ZakonPravilnikList_1">
      <item>Zakon o mirovinskom osiguranju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FACTA VERA d.o.o. putnička agencija za turizam i trgovinu, Ulica 58 br. 15, 20270 Vela Luka, OIB: 12722099417</item>
      <item>Toni Šegon, Vinogradi 78, 10000 Zagreb, OIB: 17189361560, rođen-a 05.05.1980., mjesto rođenja Split (Split)</item>
    </izvorni_sadrzaj>
    <derivirana_varijabla naziv="DomainObject.Predmet.OkrivljenikAdresaMjestoRodjenjaList_1">
      <item>FACTA VERA d.o.o. putnička agencija za turizam i trgovinu, Ulica 58 br. 15, 20270 Vela Luka, OIB: 12722099417</item>
      <item>Toni Šegon, Vinogradi 78, 10000 Zagreb, OIB: 17189361560, rođen-a 05.05.1980., mjesto rođenja Split (Split)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FACTA VERA d.o.o. putnička agencija za turizam i trgovinu, MBS 080433979, Ulica 58 br. 15, 20270 Vela Luka</izvorni_sadrzaj>
    <derivirana_varijabla naziv="DomainObject.Predmet.OkrivljenikPravnaNazivAdresaMbs_1">FACTA VERA d.o.o. putnička agencija za turizam i trgovinu, MBS 080433979, Ulica 58 br. 15, 20270 Vela Luka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Pp-2983/2025</izvorni_sadrzaj>
    <derivirana_varijabla naziv="DomainObject.PrviPodnesak.OznakaBrojPodnositelja_1">Pp-2983/2025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23258-D1B6-4780-99D4-8BD81ED0480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1001</properties:Words>
  <properties:Characters>5742</properties:Characters>
  <properties:Lines>134</properties:Lines>
  <properties:Paragraphs>31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2026-05-11T08:35:00Z</dcterms:created>
  <dc:creator>553Y6A3</dc:creator>
  <cp:lastModifiedBy>Vlatka Pažin</cp:lastModifiedBy>
  <cp:lastPrinted>2026-05-25T11:18:00Z</cp:lastPrinted>
  <dcterms:modified xmlns:xsi="http://www.w3.org/2001/XMLSchema-instance" xsi:type="dcterms:W3CDTF">2026-05-25T11:18:00Z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Ppž-293/2026-2 / Odluka - Rješenje (Ppž--293-26 TOČNA.docx)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